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Banning patents fails – need both competition and incentives for innovation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Cayton 20 </w:t>
      </w:r>
      <w:r>
        <w:rPr>
          <w:b w:val="0"/>
          <w:i w:val="0"/>
          <w:smallCaps w:val="0"/>
          <w:strike w:val="0"/>
          <w:sz w:val="22"/>
          <w:u w:val="none"/>
        </w:rPr>
        <w:t>[Samuel, Adjunct Prof at Seattle Univ School of Law, legal intern at the Media Law Group, “The ‘Green Patent Paradox’ and Fair Use: The Intellectual Property Solution to Fight Climate Change,” Seattle Journal of Technology, Environmental &amp; Innovation Law 11.1, p.237, JCR]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policy balance around extending fair use to patent law is clear and reflects that of copyright: </w:t>
      </w:r>
      <w:r>
        <w:rPr>
          <w:b w:val="0"/>
          <w:i w:val="0"/>
          <w:smallCaps w:val="0"/>
          <w:strike w:val="0"/>
          <w:sz w:val="22"/>
          <w:u w:val="single"/>
        </w:rPr>
        <w:t>while there is a strong societal need to break the exclusive control over patented products, the incentives of the inventor should not be diminished.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194 </w:t>
      </w:r>
      <w:r>
        <w:rPr>
          <w:b w:val="0"/>
          <w:i w:val="0"/>
          <w:smallCaps w:val="0"/>
          <w:strike w:val="0"/>
          <w:sz w:val="22"/>
          <w:u w:val="single"/>
        </w:rPr>
        <w:t>This notion holds especially true in the context of green patents because disincentivizing entrepreneurs to further advance green technology is as harmful as a patent holder sitting on the patent rights for that technology. In either scenario, the market will not have an optimal supply of sustainable technology.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Therefore, a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specialized application of the fair use </w:t>
      </w:r>
      <w:r>
        <w:rPr>
          <w:b w:val="0"/>
          <w:i w:val="0"/>
          <w:smallCaps w:val="0"/>
          <w:strike w:val="0"/>
          <w:sz w:val="22"/>
          <w:u w:val="single"/>
        </w:rPr>
        <w:t>doctrine can help promote the expansion of green technology while preserving the business interests of patent holders and inventors.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