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Courts are the only avenue for copywrite litigation—</w:t>
      </w:r>
      <w:r>
        <w:rPr>
          <w:b w:val="0"/>
          <w:i w:val="0"/>
          <w:smallCaps w:val="0"/>
          <w:strike w:val="0"/>
          <w:sz w:val="26"/>
          <w:u w:val="none"/>
        </w:rPr>
        <w:t>ensures clog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Brown 21 </w:t>
      </w:r>
      <w:r>
        <w:rPr>
          <w:b w:val="0"/>
          <w:i w:val="0"/>
          <w:smallCaps w:val="0"/>
          <w:strike w:val="0"/>
          <w:u w:val="none"/>
        </w:rPr>
        <w:t>[Marissa Brown “NOT SO FAIR USE: THE SHOR AIR USE: THE SHORTCOMINGS OF CURREN COMINGS OF CURRENT COPYRIGHT LAW IN MUSIC SAMPLING “, https://brooklynworks.brooklaw.edu/cgi/viewcontent.cgi?article=1354&amp;context=bjcfcl published 5-18-2021 accessed 6-11-2024]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Not only can federal litigation be costly, but it can also be lengthy given the backlog of cases in the federal court system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2019 alone, there were 376,762 filings in U.S. District Courts and 47,977 filings in the twelve regional Courts of Appeals. </w:t>
      </w:r>
      <w:r>
        <w:rPr>
          <w:b w:val="0"/>
          <w:i w:val="0"/>
          <w:smallCaps w:val="0"/>
          <w:strike w:val="0"/>
          <w:u w:val="none"/>
        </w:rPr>
        <w:t xml:space="preserve">70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Having the federal courts be the only arena for copyright infringement cases adds to this backlog </w:t>
      </w:r>
      <w:r>
        <w:rPr>
          <w:b w:val="0"/>
          <w:i w:val="0"/>
          <w:smallCaps w:val="0"/>
          <w:strike w:val="0"/>
          <w:u w:val="none"/>
        </w:rPr>
        <w:t>and could potentially cause the parties in the case to have to wait long periods of time before their trial.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B. INCONSISTENT RULINGS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lack of a bright-line-rule and the fact intensive nature of the test gives rise to inconsistency.71 Even though every court is using the same factors</w:t>
      </w:r>
      <w:r>
        <w:rPr>
          <w:b w:val="0"/>
          <w:i w:val="0"/>
          <w:smallCaps w:val="0"/>
          <w:strike w:val="0"/>
          <w:sz w:val="22"/>
          <w:u w:val="single"/>
        </w:rPr>
        <w:t>, the lack of clear rules and the dependence on fact-sensitive analyses leave ample room for different courts to have different interpretations on both how much weight should be given to each factor and the meaning of each factor.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 no one district court ruling is binding on any other, cases with similar fact patterns can have inconsistent rulings</w:t>
      </w:r>
      <w:r>
        <w:rPr>
          <w:b w:val="0"/>
          <w:i w:val="0"/>
          <w:smallCaps w:val="0"/>
          <w:strike w:val="0"/>
          <w:u w:val="none"/>
        </w:rPr>
        <w:t xml:space="preserve"> across different federal courts, even within the same circuit. For example, a more than thirty second, unedited sample of a copyright protected work was considered fair use while a highly transformed snippet that was influenced by a copyright protected work was not.72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