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court found no proof that it would hurt SDOs..</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u w:val="none"/>
        </w:rPr>
        <w:t xml:space="preserve">Effect on Potential Market: </w:t>
      </w:r>
      <w:r>
        <w:rPr>
          <w:b w:val="0"/>
          <w:i w:val="0"/>
          <w:smallCaps w:val="0"/>
          <w:strike w:val="0"/>
          <w:sz w:val="22"/>
          <w:u w:val="single"/>
        </w:rPr>
        <w:t>The court found the evidence regarding the potential market harm to be equivocal</w:t>
      </w:r>
      <w:r>
        <w:rPr>
          <w:b w:val="0"/>
          <w:i w:val="0"/>
          <w:smallCaps w:val="0"/>
          <w:strike w:val="0"/>
          <w:u w:val="none"/>
        </w:rPr>
        <w:t xml:space="preserve">. It noted that frequent updates by standards organizations and less frequent updates by lawmakers meant that the free copies provided by PRO might not be adequate substitutes for current standards. Additionally, </w:t>
      </w:r>
      <w:r>
        <w:rPr>
          <w:b/>
          <w:i w:val="0"/>
          <w:smallCaps w:val="0"/>
          <w:strike w:val="0"/>
          <w:sz w:val="22"/>
          <w:u w:val="single"/>
        </w:rPr>
        <w:t>no significant economic analysis</w:t>
      </w:r>
      <w:r>
        <w:rPr>
          <w:b w:val="0"/>
          <w:i w:val="0"/>
          <w:smallCaps w:val="0"/>
          <w:strike w:val="0"/>
          <w:u w:val="none"/>
        </w:rPr>
        <w:t xml:space="preserve"> </w:t>
      </w:r>
      <w:r>
        <w:rPr>
          <w:b w:val="0"/>
          <w:i w:val="0"/>
          <w:smallCaps w:val="0"/>
          <w:strike w:val="0"/>
          <w:sz w:val="22"/>
          <w:u w:val="single"/>
        </w:rPr>
        <w:t xml:space="preserve">was presented to </w:t>
      </w:r>
      <w:r>
        <w:rPr>
          <w:b/>
          <w:i w:val="0"/>
          <w:smallCaps w:val="0"/>
          <w:strike w:val="0"/>
          <w:sz w:val="22"/>
          <w:u w:val="single"/>
        </w:rPr>
        <w:t>demonstrate harm to the market</w:t>
      </w:r>
      <w:r>
        <w:rPr>
          <w:b w:val="0"/>
          <w:i w:val="0"/>
          <w:smallCaps w:val="0"/>
          <w:strike w:val="0"/>
          <w:u w:val="none"/>
        </w:rPr>
        <w:t xml:space="preserve">. </w:t>
      </w:r>
      <w:r>
        <w:rPr>
          <w:b w:val="0"/>
          <w:i w:val="0"/>
          <w:smallCaps w:val="0"/>
          <w:strike w:val="0"/>
          <w:sz w:val="22"/>
          <w:u w:val="single"/>
        </w:rPr>
        <w:t xml:space="preserve">The court also recognized the </w:t>
      </w:r>
      <w:r>
        <w:rPr>
          <w:b/>
          <w:i w:val="0"/>
          <w:smallCaps w:val="0"/>
          <w:strike w:val="0"/>
          <w:sz w:val="22"/>
          <w:u w:val="single"/>
        </w:rPr>
        <w:t>substantial public benefits</w:t>
      </w:r>
      <w:r>
        <w:rPr>
          <w:b w:val="0"/>
          <w:i w:val="0"/>
          <w:smallCaps w:val="0"/>
          <w:strike w:val="0"/>
          <w:sz w:val="22"/>
          <w:u w:val="single"/>
        </w:rPr>
        <w:t xml:space="preserve"> of </w:t>
      </w:r>
      <w:r>
        <w:rPr>
          <w:b/>
          <w:i w:val="0"/>
          <w:smallCaps w:val="0"/>
          <w:strike w:val="0"/>
          <w:sz w:val="22"/>
          <w:u w:val="single"/>
        </w:rPr>
        <w:t>free access to the law</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