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Turn --- public access to standards is key to the administrative state --- the plan is worse.</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And to </w:t>
      </w:r>
      <w:r>
        <w:rPr>
          <w:b/>
          <w:i w:val="0"/>
          <w:smallCaps w:val="0"/>
          <w:strike w:val="0"/>
          <w:sz w:val="22"/>
          <w:u w:val="single"/>
        </w:rPr>
        <w:t>ensure accountability</w:t>
      </w:r>
      <w:r>
        <w:rPr>
          <w:b w:val="0"/>
          <w:i w:val="0"/>
          <w:smallCaps w:val="0"/>
          <w:strike w:val="0"/>
          <w:u w:val="none"/>
        </w:rPr>
        <w:t xml:space="preserve">, </w:t>
      </w:r>
      <w:r>
        <w:rPr>
          <w:b w:val="0"/>
          <w:i w:val="0"/>
          <w:smallCaps w:val="0"/>
          <w:strike w:val="0"/>
          <w:sz w:val="22"/>
          <w:u w:val="single"/>
        </w:rPr>
        <w:t>we need</w:t>
      </w:r>
      <w:r>
        <w:rPr>
          <w:b w:val="0"/>
          <w:i w:val="0"/>
          <w:smallCaps w:val="0"/>
          <w:strike w:val="0"/>
          <w:u w:val="none"/>
        </w:rPr>
        <w:t xml:space="preserve"> at least as much—usually </w:t>
      </w:r>
      <w:r>
        <w:rPr>
          <w:b/>
          <w:i w:val="0"/>
          <w:smallCaps w:val="0"/>
          <w:strike w:val="0"/>
          <w:sz w:val="22"/>
          <w:u w:val="single"/>
        </w:rPr>
        <w:t>greater</w:t>
      </w:r>
      <w:r>
        <w:rPr>
          <w:b w:val="0"/>
          <w:i w:val="0"/>
          <w:smallCaps w:val="0"/>
          <w:strike w:val="0"/>
          <w:u w:val="none"/>
        </w:rPr>
        <w:t>—</w:t>
      </w:r>
      <w:r>
        <w:rPr>
          <w:b w:val="0"/>
          <w:i w:val="0"/>
          <w:smallCaps w:val="0"/>
          <w:strike w:val="0"/>
          <w:sz w:val="22"/>
          <w:u w:val="single"/>
        </w:rPr>
        <w:t>public access to quasi-legislative actions</w:t>
      </w:r>
      <w:r>
        <w:rPr>
          <w:b w:val="0"/>
          <w:i w:val="0"/>
          <w:smallCaps w:val="0"/>
          <w:strike w:val="0"/>
          <w:u w:val="none"/>
        </w:rPr>
        <w:t xml:space="preserve"> as to more narrowly focused decisions, where more process may be available. </w:t>
      </w:r>
      <w:r>
        <w:rPr>
          <w:b w:val="0"/>
          <w:i w:val="0"/>
          <w:smallCaps w:val="0"/>
          <w:strike w:val="0"/>
          <w:sz w:val="22"/>
          <w:u w:val="single"/>
        </w:rPr>
        <w:t xml:space="preserve">Legislative and quasilegislative actions are among the </w:t>
      </w:r>
      <w:r>
        <w:rPr>
          <w:b/>
          <w:i w:val="0"/>
          <w:smallCaps w:val="0"/>
          <w:strike w:val="0"/>
          <w:sz w:val="22"/>
          <w:u w:val="single"/>
        </w:rPr>
        <w:t>core action</w:t>
      </w:r>
      <w:r>
        <w:rPr>
          <w:b w:val="0"/>
          <w:i w:val="0"/>
          <w:smallCaps w:val="0"/>
          <w:strike w:val="0"/>
          <w:sz w:val="22"/>
          <w:u w:val="single"/>
        </w:rPr>
        <w:t>s of modern government</w:t>
      </w:r>
      <w:r>
        <w:rPr>
          <w:b w:val="0"/>
          <w:i w:val="0"/>
          <w:smallCaps w:val="0"/>
          <w:strike w:val="0"/>
          <w:u w:val="none"/>
        </w:rPr>
        <w:t xml:space="preserve">, elections are critical for accountability, </w:t>
      </w:r>
      <w:r>
        <w:rPr>
          <w:b w:val="0"/>
          <w:i w:val="0"/>
          <w:smallCaps w:val="0"/>
          <w:strike w:val="0"/>
          <w:sz w:val="22"/>
          <w:u w:val="single"/>
        </w:rPr>
        <w:t>and a citizen’s ability to cast an informed vote</w:t>
      </w:r>
      <w:r>
        <w:rPr>
          <w:b w:val="0"/>
          <w:i w:val="0"/>
          <w:smallCaps w:val="0"/>
          <w:strike w:val="0"/>
          <w:u w:val="none"/>
        </w:rPr>
        <w:t xml:space="preserve"> in a democracy </w:t>
      </w:r>
      <w:r>
        <w:rPr>
          <w:b w:val="0"/>
          <w:i w:val="0"/>
          <w:smallCaps w:val="0"/>
          <w:strike w:val="0"/>
          <w:sz w:val="22"/>
          <w:u w:val="single"/>
        </w:rPr>
        <w:t xml:space="preserve">depends on </w:t>
      </w:r>
      <w:r>
        <w:rPr>
          <w:b/>
          <w:i w:val="0"/>
          <w:smallCaps w:val="0"/>
          <w:strike w:val="0"/>
          <w:sz w:val="22"/>
          <w:u w:val="single"/>
        </w:rPr>
        <w:t>meaningful public access</w:t>
      </w:r>
      <w:r>
        <w:rPr>
          <w:b w:val="0"/>
          <w:i w:val="0"/>
          <w:smallCaps w:val="0"/>
          <w:strike w:val="0"/>
          <w:sz w:val="22"/>
          <w:u w:val="single"/>
        </w:rPr>
        <w:t>.</w:t>
      </w:r>
    </w:p>
    <w:p>
      <w:pPr>
        <w:spacing w:after="60"/>
      </w:pPr>
      <w:r>
        <w:rPr>
          <w:b w:val="0"/>
          <w:i w:val="0"/>
          <w:smallCaps w:val="0"/>
          <w:strike w:val="0"/>
          <w:sz w:val="22"/>
          <w:u w:val="single"/>
        </w:rPr>
        <w:t xml:space="preserve">In the </w:t>
      </w:r>
      <w:r>
        <w:rPr>
          <w:b/>
          <w:i w:val="0"/>
          <w:smallCaps w:val="0"/>
          <w:strike w:val="0"/>
          <w:sz w:val="22"/>
          <w:u w:val="single"/>
        </w:rPr>
        <w:t>modern administrative state</w:t>
      </w:r>
      <w:r>
        <w:rPr>
          <w:b w:val="0"/>
          <w:i w:val="0"/>
          <w:smallCaps w:val="0"/>
          <w:strike w:val="0"/>
          <w:u w:val="none"/>
        </w:rPr>
        <w:t xml:space="preserve">, partly in response to limited electoral accountability, </w:t>
      </w:r>
      <w:r>
        <w:rPr>
          <w:b w:val="0"/>
          <w:i w:val="0"/>
          <w:smallCaps w:val="0"/>
          <w:strike w:val="0"/>
          <w:sz w:val="22"/>
          <w:u w:val="single"/>
        </w:rPr>
        <w:t>we have devised a range of accountability mechanisms to ensure</w:t>
      </w:r>
      <w:r>
        <w:rPr>
          <w:b w:val="0"/>
          <w:i w:val="0"/>
          <w:smallCaps w:val="0"/>
          <w:strike w:val="0"/>
          <w:u w:val="none"/>
        </w:rPr>
        <w:t xml:space="preserve"> that </w:t>
      </w:r>
      <w:r>
        <w:rPr>
          <w:b w:val="0"/>
          <w:i w:val="0"/>
          <w:smallCaps w:val="0"/>
          <w:strike w:val="0"/>
          <w:sz w:val="22"/>
          <w:u w:val="single"/>
        </w:rPr>
        <w:t xml:space="preserve">an agency’s action is </w:t>
      </w:r>
      <w:r>
        <w:rPr>
          <w:b/>
          <w:i w:val="0"/>
          <w:smallCaps w:val="0"/>
          <w:strike w:val="0"/>
          <w:sz w:val="22"/>
          <w:u w:val="single"/>
        </w:rPr>
        <w:t>not an abuse of its authority</w:t>
      </w:r>
      <w:r>
        <w:rPr>
          <w:b w:val="0"/>
          <w:i w:val="0"/>
          <w:smallCaps w:val="0"/>
          <w:strike w:val="0"/>
          <w:u w:val="none"/>
        </w:rPr>
        <w:t xml:space="preserve">, </w:t>
      </w:r>
      <w:r>
        <w:rPr>
          <w:b/>
          <w:i w:val="0"/>
          <w:smallCaps w:val="0"/>
          <w:strike w:val="0"/>
          <w:sz w:val="22"/>
          <w:u w:val="single"/>
        </w:rPr>
        <w:t>is consistent with the law</w:t>
      </w:r>
      <w:r>
        <w:rPr>
          <w:b w:val="0"/>
          <w:i w:val="0"/>
          <w:smallCaps w:val="0"/>
          <w:strike w:val="0"/>
          <w:u w:val="none"/>
        </w:rPr>
        <w:t xml:space="preserve">, </w:t>
      </w:r>
      <w:r>
        <w:rPr>
          <w:b w:val="0"/>
          <w:i w:val="0"/>
          <w:smallCaps w:val="0"/>
          <w:strike w:val="0"/>
          <w:sz w:val="22"/>
          <w:u w:val="single"/>
        </w:rPr>
        <w:t xml:space="preserve">and is </w:t>
      </w:r>
      <w:r>
        <w:rPr>
          <w:b/>
          <w:i w:val="0"/>
          <w:smallCaps w:val="0"/>
          <w:strike w:val="0"/>
          <w:sz w:val="22"/>
          <w:u w:val="single"/>
        </w:rPr>
        <w:t>properly democratically responsive</w:t>
      </w:r>
      <w:r>
        <w:rPr>
          <w:b w:val="0"/>
          <w:i w:val="0"/>
          <w:smallCaps w:val="0"/>
          <w:strike w:val="0"/>
          <w:u w:val="none"/>
        </w:rPr>
        <w:t xml:space="preserve">. </w:t>
      </w:r>
      <w:r>
        <w:rPr>
          <w:b w:val="0"/>
          <w:i w:val="0"/>
          <w:smallCaps w:val="0"/>
          <w:strike w:val="0"/>
          <w:sz w:val="22"/>
          <w:u w:val="single"/>
        </w:rPr>
        <w:t>The need for public access to rules</w:t>
      </w:r>
      <w:r>
        <w:rPr>
          <w:b w:val="0"/>
          <w:i w:val="0"/>
          <w:smallCaps w:val="0"/>
          <w:strike w:val="0"/>
          <w:u w:val="none"/>
        </w:rPr>
        <w:t>, and to IBR rules specifically</w:t>
      </w:r>
      <w:r>
        <w:rPr>
          <w:b w:val="0"/>
          <w:i w:val="0"/>
          <w:smallCaps w:val="0"/>
          <w:strike w:val="0"/>
          <w:sz w:val="22"/>
          <w:u w:val="single"/>
        </w:rPr>
        <w:t>, has to be assessed in the context of these evolving mechanisms of accountability</w:t>
      </w:r>
      <w:r>
        <w:rPr>
          <w:b w:val="0"/>
          <w:i w:val="0"/>
          <w:smallCaps w:val="0"/>
          <w:strike w:val="0"/>
          <w:u w:val="none"/>
        </w:rPr>
        <w:t xml:space="preserve">. For agency rules in general, public access must be sufficient to support a person’s ability to participate in and seek revision of agency decisions and to demand that agencies account for their actions through that process, through judicial review, and through White House and congressional oversight. Thus, </w:t>
      </w:r>
      <w:r>
        <w:rPr>
          <w:b w:val="0"/>
          <w:i w:val="0"/>
          <w:smallCaps w:val="0"/>
          <w:strike w:val="0"/>
          <w:sz w:val="22"/>
          <w:u w:val="single"/>
        </w:rPr>
        <w:t>meaningful public access to rules must denote widespread and</w:t>
      </w:r>
      <w:r>
        <w:rPr>
          <w:b w:val="0"/>
          <w:i w:val="0"/>
          <w:smallCaps w:val="0"/>
          <w:strike w:val="0"/>
          <w:u w:val="none"/>
        </w:rPr>
        <w:t xml:space="preserve"> free—or extremely low-cost—</w:t>
      </w:r>
      <w:r>
        <w:rPr>
          <w:b w:val="0"/>
          <w:i w:val="0"/>
          <w:smallCaps w:val="0"/>
          <w:strike w:val="0"/>
          <w:sz w:val="22"/>
          <w:u w:val="single"/>
        </w:rPr>
        <w:t>access</w:t>
      </w:r>
      <w:r>
        <w:rPr>
          <w:b w:val="0"/>
          <w:i w:val="0"/>
          <w:smallCaps w:val="0"/>
          <w:strike w:val="0"/>
          <w:u w:val="none"/>
        </w:rPr>
        <w:t>. At a minimum, this means the sort of free access currently provided over the internet and at public and depository libraries.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