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States will exercise restraint.</w:t>
      </w:r>
    </w:p>
    <w:p>
      <w:pPr>
        <w:spacing w:after="80"/>
      </w:pPr>
      <w:r>
        <w:rPr>
          <w:b w:val="0"/>
          <w:i w:val="0"/>
          <w:smallCaps w:val="0"/>
          <w:strike w:val="0"/>
          <w:u w:val="none"/>
        </w:rPr>
        <w:t xml:space="preserve">Christina L. </w:t>
      </w:r>
      <w:r>
        <w:rPr>
          <w:b/>
          <w:i w:val="0"/>
          <w:smallCaps w:val="0"/>
          <w:strike w:val="0"/>
          <w:sz w:val="26"/>
          <w:u w:val="none"/>
        </w:rPr>
        <w:t>Davis &amp;</w:t>
      </w:r>
      <w:r>
        <w:rPr>
          <w:b w:val="0"/>
          <w:i w:val="0"/>
          <w:smallCaps w:val="0"/>
          <w:strike w:val="0"/>
          <w:u w:val="none"/>
        </w:rPr>
        <w:t xml:space="preserve"> Krzysztof J. </w:t>
      </w:r>
      <w:r>
        <w:rPr>
          <w:b/>
          <w:i w:val="0"/>
          <w:smallCaps w:val="0"/>
          <w:strike w:val="0"/>
          <w:sz w:val="26"/>
          <w:u w:val="none"/>
        </w:rPr>
        <w:t>Pelc 17</w:t>
      </w:r>
      <w:r>
        <w:rPr>
          <w:b w:val="0"/>
          <w:i w:val="0"/>
          <w:smallCaps w:val="0"/>
          <w:strike w:val="0"/>
          <w:u w:val="none"/>
        </w:rPr>
        <w:t xml:space="preserve">. *Professor of Politics and International Affairs at Princeton. **Associate Professor of Political Science at McGill University. “Cooperation in Hard Times: Self-restraint of Trade Protection.” </w:t>
      </w:r>
      <w:r>
        <w:rPr>
          <w:b w:val="0"/>
          <w:i/>
          <w:smallCaps w:val="0"/>
          <w:strike w:val="0"/>
          <w:u w:val="none"/>
        </w:rPr>
        <w:t>Journal of Conflict Resolution</w:t>
      </w:r>
      <w:r>
        <w:rPr>
          <w:b w:val="0"/>
          <w:i w:val="0"/>
          <w:smallCaps w:val="0"/>
          <w:strike w:val="0"/>
          <w:u w:val="none"/>
        </w:rPr>
        <w:t xml:space="preserve"> 61(2): 398-429. Emory Libraries. </w:t>
      </w:r>
    </w:p>
    <w:p>
      <w:pPr>
        <w:spacing w:after="60"/>
      </w:pPr>
      <w:r>
        <w:rPr>
          <w:b w:val="0"/>
          <w:i w:val="0"/>
          <w:smallCaps w:val="0"/>
          <w:strike w:val="0"/>
          <w:sz w:val="22"/>
          <w:u w:val="single"/>
        </w:rPr>
        <w:t>Conclusion</w:t>
      </w:r>
      <w:r>
        <w:rPr>
          <w:b w:val="0"/>
          <w:i w:val="0"/>
          <w:smallCaps w:val="0"/>
          <w:strike w:val="0"/>
          <w:sz w:val="12"/>
          <w:u w:val="single"/>
        </w:rPr>
        <w:t xml:space="preserve"> </w:t>
      </w:r>
      <w:r>
        <w:rPr>
          <w:b w:val="0"/>
          <w:i w:val="0"/>
          <w:smallCaps w:val="0"/>
          <w:strike w:val="0"/>
          <w:sz w:val="22"/>
          <w:u w:val="single"/>
        </w:rPr>
        <w:t>Political economy theory would lead us to expect rising trade protection during hard times</w:t>
      </w:r>
      <w:r>
        <w:rPr>
          <w:b w:val="0"/>
          <w:i w:val="0"/>
          <w:smallCaps w:val="0"/>
          <w:strike w:val="0"/>
          <w:u w:val="none"/>
        </w:rPr>
        <w:t xml:space="preserve">. </w:t>
      </w:r>
      <w:r>
        <w:rPr>
          <w:b w:val="0"/>
          <w:i w:val="0"/>
          <w:smallCaps w:val="0"/>
          <w:strike w:val="0"/>
          <w:sz w:val="22"/>
          <w:u w:val="single"/>
        </w:rPr>
        <w:t xml:space="preserve">Yet </w:t>
      </w:r>
      <w:r>
        <w:rPr>
          <w:b/>
          <w:i w:val="0"/>
          <w:smallCaps w:val="0"/>
          <w:strike w:val="0"/>
          <w:sz w:val="22"/>
          <w:u w:val="single"/>
        </w:rPr>
        <w:t>empirical evidence</w:t>
      </w:r>
      <w:r>
        <w:rPr>
          <w:b w:val="0"/>
          <w:i w:val="0"/>
          <w:smallCaps w:val="0"/>
          <w:strike w:val="0"/>
          <w:u w:val="none"/>
        </w:rPr>
        <w:t xml:space="preserve"> on this count </w:t>
      </w:r>
      <w:r>
        <w:rPr>
          <w:b w:val="0"/>
          <w:i w:val="0"/>
          <w:smallCaps w:val="0"/>
          <w:strike w:val="0"/>
          <w:sz w:val="22"/>
          <w:u w:val="single"/>
        </w:rPr>
        <w:t>has been mixed</w:t>
      </w:r>
      <w:r>
        <w:rPr>
          <w:b w:val="0"/>
          <w:i w:val="0"/>
          <w:smallCaps w:val="0"/>
          <w:strike w:val="0"/>
          <w:u w:val="none"/>
        </w:rPr>
        <w:t xml:space="preserve">. Some studies find a correlation between poor macroeconomic conditions and protection, but the worst recession since the Great Depression has generated surprisingly moderate levels of protection. We explain this apparent contradiction. </w:t>
      </w:r>
      <w:r>
        <w:rPr>
          <w:b w:val="0"/>
          <w:i w:val="0"/>
          <w:smallCaps w:val="0"/>
          <w:strike w:val="0"/>
          <w:sz w:val="22"/>
          <w:u w:val="single"/>
        </w:rPr>
        <w:t>Our statistical findings show that under conditions of pervasive economic crisis</w:t>
      </w:r>
      <w:r>
        <w:rPr>
          <w:b w:val="0"/>
          <w:i w:val="0"/>
          <w:smallCaps w:val="0"/>
          <w:strike w:val="0"/>
          <w:u w:val="none"/>
        </w:rPr>
        <w:t xml:space="preserve"> at the international level, </w:t>
      </w:r>
      <w:r>
        <w:rPr>
          <w:b w:val="0"/>
          <w:i w:val="0"/>
          <w:smallCaps w:val="0"/>
          <w:strike w:val="0"/>
          <w:sz w:val="22"/>
          <w:u w:val="single"/>
        </w:rPr>
        <w:t xml:space="preserve">states exercise more </w:t>
      </w:r>
      <w:r>
        <w:rPr>
          <w:b/>
          <w:i w:val="0"/>
          <w:smallCaps w:val="0"/>
          <w:strike w:val="0"/>
          <w:sz w:val="22"/>
          <w:u w:val="single"/>
        </w:rPr>
        <w:t>restraint</w:t>
      </w:r>
      <w:r>
        <w:rPr>
          <w:b w:val="0"/>
          <w:i w:val="0"/>
          <w:smallCaps w:val="0"/>
          <w:strike w:val="0"/>
          <w:u w:val="none"/>
        </w:rPr>
        <w:t xml:space="preserve"> than they would when facing crisis alone. </w:t>
      </w:r>
      <w:r>
        <w:rPr>
          <w:b w:val="0"/>
          <w:i w:val="0"/>
          <w:smallCaps w:val="0"/>
          <w:strike w:val="0"/>
          <w:sz w:val="22"/>
          <w:u w:val="single"/>
        </w:rPr>
        <w:t>These results throw light on behavior not only during the crisis, but throughout the WTO period</w:t>
      </w:r>
      <w:r>
        <w:rPr>
          <w:b w:val="0"/>
          <w:i w:val="0"/>
          <w:smallCaps w:val="0"/>
          <w:strike w:val="0"/>
          <w:u w:val="none"/>
        </w:rPr>
        <w:t xml:space="preserve">, from 1995 to the present. One concern may be that the restraint we observe during widespread crises is actually the result of a decrease in aggregate demand and that domestic pressure for import relief is lessened by the decline of world trade. </w:t>
      </w:r>
      <w:r>
        <w:rPr>
          <w:b w:val="0"/>
          <w:i w:val="0"/>
          <w:smallCaps w:val="0"/>
          <w:strike w:val="0"/>
          <w:sz w:val="22"/>
          <w:u w:val="single"/>
        </w:rPr>
        <w:t xml:space="preserve">By </w:t>
      </w:r>
      <w:r>
        <w:rPr>
          <w:b/>
          <w:i w:val="0"/>
          <w:smallCaps w:val="0"/>
          <w:strike w:val="0"/>
          <w:sz w:val="22"/>
          <w:u w:val="single"/>
        </w:rPr>
        <w:t>controlling</w:t>
      </w:r>
      <w:r>
        <w:rPr>
          <w:b w:val="0"/>
          <w:i w:val="0"/>
          <w:smallCaps w:val="0"/>
          <w:strike w:val="0"/>
          <w:sz w:val="22"/>
          <w:u w:val="single"/>
        </w:rPr>
        <w:t xml:space="preserve"> for </w:t>
      </w:r>
      <w:r>
        <w:rPr>
          <w:b/>
          <w:i w:val="0"/>
          <w:smallCaps w:val="0"/>
          <w:strike w:val="0"/>
          <w:sz w:val="22"/>
          <w:u w:val="single"/>
        </w:rPr>
        <w:t>product-level imports</w:t>
      </w:r>
      <w:r>
        <w:rPr>
          <w:b w:val="0"/>
          <w:i w:val="0"/>
          <w:smallCaps w:val="0"/>
          <w:strike w:val="0"/>
          <w:sz w:val="22"/>
          <w:u w:val="single"/>
        </w:rPr>
        <w:t>, we show that the restraint on remedy use is not a byproduct of declining imports</w:t>
      </w:r>
      <w:r>
        <w:rPr>
          <w:b w:val="0"/>
          <w:i w:val="0"/>
          <w:smallCaps w:val="0"/>
          <w:strike w:val="0"/>
          <w:u w:val="none"/>
        </w:rPr>
        <w:t xml:space="preserve">. </w:t>
      </w:r>
      <w:r>
        <w:rPr>
          <w:b w:val="0"/>
          <w:i w:val="0"/>
          <w:smallCaps w:val="0"/>
          <w:strike w:val="0"/>
          <w:sz w:val="22"/>
          <w:u w:val="single"/>
        </w:rPr>
        <w:t>We</w:t>
      </w:r>
      <w:r>
        <w:rPr>
          <w:b w:val="0"/>
          <w:i w:val="0"/>
          <w:smallCaps w:val="0"/>
          <w:strike w:val="0"/>
          <w:u w:val="none"/>
        </w:rPr>
        <w:t xml:space="preserve"> </w:t>
      </w:r>
      <w:r>
        <w:rPr>
          <w:b/>
          <w:i w:val="0"/>
          <w:smallCaps w:val="0"/>
          <w:strike w:val="0"/>
          <w:sz w:val="22"/>
          <w:u w:val="single"/>
        </w:rPr>
        <w:t>also</w:t>
      </w:r>
      <w:r>
        <w:rPr>
          <w:b w:val="0"/>
          <w:i w:val="0"/>
          <w:smallCaps w:val="0"/>
          <w:strike w:val="0"/>
          <w:u w:val="none"/>
        </w:rPr>
        <w:t xml:space="preserve"> </w:t>
      </w:r>
      <w:r>
        <w:rPr>
          <w:b w:val="0"/>
          <w:i w:val="0"/>
          <w:smallCaps w:val="0"/>
          <w:strike w:val="0"/>
          <w:sz w:val="22"/>
          <w:u w:val="single"/>
        </w:rPr>
        <w:t>take into account the ability of</w:t>
      </w:r>
      <w:r>
        <w:rPr>
          <w:b w:val="0"/>
          <w:i w:val="0"/>
          <w:smallCaps w:val="0"/>
          <w:strike w:val="0"/>
          <w:u w:val="none"/>
        </w:rPr>
        <w:t xml:space="preserve"> some </w:t>
      </w:r>
      <w:r>
        <w:rPr>
          <w:b w:val="0"/>
          <w:i w:val="0"/>
          <w:smallCaps w:val="0"/>
          <w:strike w:val="0"/>
          <w:sz w:val="22"/>
          <w:u w:val="single"/>
        </w:rPr>
        <w:t xml:space="preserve">countries to </w:t>
      </w:r>
      <w:r>
        <w:rPr>
          <w:b/>
          <w:i w:val="0"/>
          <w:smallCaps w:val="0"/>
          <w:strike w:val="0"/>
          <w:sz w:val="22"/>
          <w:u w:val="single"/>
        </w:rPr>
        <w:t>manipulate their currency</w:t>
      </w:r>
      <w:r>
        <w:rPr>
          <w:b w:val="0"/>
          <w:i w:val="0"/>
          <w:smallCaps w:val="0"/>
          <w:strike w:val="0"/>
          <w:sz w:val="22"/>
          <w:u w:val="single"/>
        </w:rPr>
        <w:t xml:space="preserve"> and demonstrate that the relationship between crisis and trade protection </w:t>
      </w:r>
      <w:r>
        <w:rPr>
          <w:b/>
          <w:i w:val="0"/>
          <w:smallCaps w:val="0"/>
          <w:strike w:val="0"/>
          <w:sz w:val="22"/>
          <w:u w:val="single"/>
        </w:rPr>
        <w:t>holds</w:t>
      </w:r>
      <w:r>
        <w:rPr>
          <w:b w:val="0"/>
          <w:i w:val="0"/>
          <w:smallCaps w:val="0"/>
          <w:strike w:val="0"/>
          <w:sz w:val="22"/>
          <w:u w:val="single"/>
        </w:rPr>
        <w:t xml:space="preserve"> independent of exchange rate policies</w:t>
      </w:r>
      <w:r>
        <w:rPr>
          <w:b w:val="0"/>
          <w:i w:val="0"/>
          <w:smallCaps w:val="0"/>
          <w:strike w:val="0"/>
          <w:u w:val="none"/>
        </w:rPr>
        <w:t>.</w:t>
      </w:r>
      <w:r>
        <w:rPr>
          <w:b w:val="0"/>
          <w:i w:val="0"/>
          <w:smallCaps w:val="0"/>
          <w:strike w:val="0"/>
          <w:sz w:val="12"/>
          <w:u w:val="none"/>
        </w:rPr>
        <w:t xml:space="preserve"> </w:t>
      </w:r>
      <w:r>
        <w:rPr>
          <w:b w:val="0"/>
          <w:i w:val="0"/>
          <w:smallCaps w:val="0"/>
          <w:strike w:val="0"/>
          <w:u w:val="none"/>
        </w:rPr>
        <w:t xml:space="preserve">Government </w:t>
      </w:r>
      <w:r>
        <w:rPr>
          <w:b w:val="0"/>
          <w:i w:val="0"/>
          <w:smallCaps w:val="0"/>
          <w:strike w:val="0"/>
          <w:sz w:val="22"/>
          <w:u w:val="single"/>
        </w:rPr>
        <w:t>decisions to impose costs on their trade partners by taking advantage of their legal right to use flexibility measures</w:t>
      </w:r>
      <w:r>
        <w:rPr>
          <w:b w:val="0"/>
          <w:i w:val="0"/>
          <w:smallCaps w:val="0"/>
          <w:strike w:val="0"/>
          <w:u w:val="none"/>
        </w:rPr>
        <w:t xml:space="preserve"> are driven not only by the domestic situation but also by circumstances abroad. This </w:t>
      </w:r>
      <w:r>
        <w:rPr>
          <w:b w:val="0"/>
          <w:i w:val="0"/>
          <w:smallCaps w:val="0"/>
          <w:strike w:val="0"/>
          <w:sz w:val="22"/>
          <w:u w:val="single"/>
        </w:rPr>
        <w:t xml:space="preserve">can give rise to an individual </w:t>
      </w:r>
      <w:r>
        <w:rPr>
          <w:b/>
          <w:i w:val="0"/>
          <w:smallCaps w:val="0"/>
          <w:strike w:val="0"/>
          <w:sz w:val="22"/>
          <w:u w:val="single"/>
        </w:rPr>
        <w:t>incentive for strategic self-restraint</w:t>
      </w:r>
      <w:r>
        <w:rPr>
          <w:b w:val="0"/>
          <w:i w:val="0"/>
          <w:smallCaps w:val="0"/>
          <w:strike w:val="0"/>
          <w:sz w:val="22"/>
          <w:u w:val="single"/>
        </w:rPr>
        <w:t xml:space="preserve"> toward trade partners in similar economic trouble</w:t>
      </w:r>
      <w:r>
        <w:rPr>
          <w:b w:val="0"/>
          <w:i w:val="0"/>
          <w:smallCaps w:val="0"/>
          <w:strike w:val="0"/>
          <w:u w:val="none"/>
        </w:rPr>
        <w:t xml:space="preserve">. Under conditions of widespread crisis, </w:t>
      </w:r>
      <w:r>
        <w:rPr>
          <w:b w:val="0"/>
          <w:i w:val="0"/>
          <w:smallCaps w:val="0"/>
          <w:strike w:val="0"/>
          <w:sz w:val="22"/>
          <w:u w:val="single"/>
        </w:rPr>
        <w:t xml:space="preserve">government leaders </w:t>
      </w:r>
      <w:r>
        <w:rPr>
          <w:b/>
          <w:i w:val="0"/>
          <w:smallCaps w:val="0"/>
          <w:strike w:val="0"/>
          <w:sz w:val="22"/>
          <w:u w:val="single"/>
        </w:rPr>
        <w:t>fear</w:t>
      </w:r>
      <w:r>
        <w:rPr>
          <w:b w:val="0"/>
          <w:i w:val="0"/>
          <w:smallCaps w:val="0"/>
          <w:strike w:val="0"/>
          <w:sz w:val="22"/>
          <w:u w:val="single"/>
        </w:rPr>
        <w:t xml:space="preserve"> the </w:t>
      </w:r>
      <w:r>
        <w:rPr>
          <w:b/>
          <w:i w:val="0"/>
          <w:smallCaps w:val="0"/>
          <w:strike w:val="0"/>
          <w:sz w:val="22"/>
          <w:u w:val="single"/>
        </w:rPr>
        <w:t>repercussions</w:t>
      </w:r>
      <w:r>
        <w:rPr>
          <w:b w:val="0"/>
          <w:i w:val="0"/>
          <w:smallCaps w:val="0"/>
          <w:strike w:val="0"/>
          <w:sz w:val="22"/>
          <w:u w:val="single"/>
        </w:rPr>
        <w:t xml:space="preserve"> that their own use of trade protection may have on the behavior of trade partners at a time when they cannot afford the economic cost of a trade war</w:t>
      </w:r>
      <w:r>
        <w:rPr>
          <w:b w:val="0"/>
          <w:i w:val="0"/>
          <w:smallCaps w:val="0"/>
          <w:strike w:val="0"/>
          <w:u w:val="none"/>
        </w:rPr>
        <w:t xml:space="preserve">. </w:t>
      </w:r>
      <w:r>
        <w:rPr>
          <w:b w:val="0"/>
          <w:i w:val="0"/>
          <w:smallCaps w:val="0"/>
          <w:strike w:val="0"/>
          <w:sz w:val="22"/>
          <w:u w:val="single"/>
        </w:rPr>
        <w:t xml:space="preserve">Institutions provide </w:t>
      </w:r>
      <w:r>
        <w:rPr>
          <w:b/>
          <w:i w:val="0"/>
          <w:smallCaps w:val="0"/>
          <w:strike w:val="0"/>
          <w:sz w:val="22"/>
          <w:u w:val="single"/>
        </w:rPr>
        <w:t>monitoring</w:t>
      </w:r>
      <w:r>
        <w:rPr>
          <w:b w:val="0"/>
          <w:i w:val="0"/>
          <w:smallCaps w:val="0"/>
          <w:strike w:val="0"/>
          <w:sz w:val="22"/>
          <w:u w:val="single"/>
        </w:rPr>
        <w:t xml:space="preserve"> and a venue for </w:t>
      </w:r>
      <w:r>
        <w:rPr>
          <w:b/>
          <w:i w:val="0"/>
          <w:smallCaps w:val="0"/>
          <w:strike w:val="0"/>
          <w:sz w:val="22"/>
          <w:u w:val="single"/>
        </w:rPr>
        <w:t>leader interaction</w:t>
      </w:r>
      <w:r>
        <w:rPr>
          <w:b w:val="0"/>
          <w:i w:val="0"/>
          <w:smallCaps w:val="0"/>
          <w:strike w:val="0"/>
          <w:sz w:val="22"/>
          <w:u w:val="single"/>
        </w:rPr>
        <w:t xml:space="preserve"> that </w:t>
      </w:r>
      <w:r>
        <w:rPr>
          <w:b/>
          <w:i w:val="0"/>
          <w:smallCaps w:val="0"/>
          <w:strike w:val="0"/>
          <w:sz w:val="22"/>
          <w:u w:val="single"/>
        </w:rPr>
        <w:t>facilitates coordination</w:t>
      </w:r>
      <w:r>
        <w:rPr>
          <w:b w:val="0"/>
          <w:i w:val="0"/>
          <w:smallCaps w:val="0"/>
          <w:strike w:val="0"/>
          <w:sz w:val="22"/>
          <w:u w:val="single"/>
        </w:rPr>
        <w:t xml:space="preserve"> among states</w:t>
      </w:r>
      <w:r>
        <w:rPr>
          <w:b w:val="0"/>
          <w:i w:val="0"/>
          <w:smallCaps w:val="0"/>
          <w:strike w:val="0"/>
          <w:u w:val="none"/>
        </w:rPr>
        <w:t xml:space="preserve">. Here the key function is </w:t>
      </w:r>
      <w:r>
        <w:rPr>
          <w:b w:val="0"/>
          <w:i w:val="0"/>
          <w:smallCaps w:val="0"/>
          <w:strike w:val="0"/>
          <w:sz w:val="22"/>
          <w:u w:val="single"/>
        </w:rPr>
        <w:t>to reinforce expectations that any move to protect industries will trigger similar moves in other countries</w:t>
      </w:r>
      <w:r>
        <w:rPr>
          <w:b w:val="0"/>
          <w:i w:val="0"/>
          <w:smallCaps w:val="0"/>
          <w:strike w:val="0"/>
          <w:u w:val="none"/>
        </w:rPr>
        <w:t xml:space="preserve">. Such coordination often draws on shared historical analogies, such as the Smoot–Hawley lesson, which form a focal point to shape beliefs about appropriate state behavior. Much of the literature has focused on the more visible action of legal enforcement through dispute settlement, but this only captures part of the story. Our research suggests that </w:t>
      </w:r>
      <w:r>
        <w:rPr>
          <w:b w:val="0"/>
          <w:i w:val="0"/>
          <w:smallCaps w:val="0"/>
          <w:strike w:val="0"/>
          <w:sz w:val="22"/>
          <w:u w:val="single"/>
        </w:rPr>
        <w:t xml:space="preserve">tools of informal governance such as leader pledges, guidance from the Director General, trade policy reviews, and plenary meetings </w:t>
      </w:r>
      <w:r>
        <w:rPr>
          <w:b/>
          <w:i w:val="0"/>
          <w:smallCaps w:val="0"/>
          <w:strike w:val="0"/>
          <w:sz w:val="22"/>
          <w:u w:val="single"/>
        </w:rPr>
        <w:t>play a real role</w:t>
      </w:r>
      <w:r>
        <w:rPr>
          <w:b w:val="0"/>
          <w:i w:val="0"/>
          <w:smallCaps w:val="0"/>
          <w:strike w:val="0"/>
          <w:sz w:val="22"/>
          <w:u w:val="single"/>
        </w:rPr>
        <w:t xml:space="preserve"> within the trade regime</w:t>
      </w:r>
      <w:r>
        <w:rPr>
          <w:b w:val="0"/>
          <w:i w:val="0"/>
          <w:smallCaps w:val="0"/>
          <w:strike w:val="0"/>
          <w:u w:val="none"/>
        </w:rPr>
        <w:t xml:space="preserve">. In the absence of sufficiently stringent rules over flexibility measures, compliance alone is insufficient during a global economic crisis. </w:t>
      </w:r>
      <w:r>
        <w:rPr>
          <w:b w:val="0"/>
          <w:i w:val="0"/>
          <w:smallCaps w:val="0"/>
          <w:strike w:val="0"/>
          <w:sz w:val="22"/>
          <w:u w:val="single"/>
        </w:rPr>
        <w:t xml:space="preserve">These </w:t>
      </w:r>
      <w:r>
        <w:rPr>
          <w:b/>
          <w:i w:val="0"/>
          <w:smallCaps w:val="0"/>
          <w:strike w:val="0"/>
          <w:sz w:val="22"/>
          <w:u w:val="single"/>
        </w:rPr>
        <w:t>circumstances</w:t>
      </w:r>
      <w:r>
        <w:rPr>
          <w:b w:val="0"/>
          <w:i w:val="0"/>
          <w:smallCaps w:val="0"/>
          <w:strike w:val="0"/>
          <w:sz w:val="22"/>
          <w:u w:val="single"/>
        </w:rPr>
        <w:t xml:space="preserve"> trigger </w:t>
      </w:r>
      <w:r>
        <w:rPr>
          <w:b/>
          <w:i w:val="0"/>
          <w:smallCaps w:val="0"/>
          <w:strike w:val="0"/>
          <w:sz w:val="22"/>
          <w:u w:val="single"/>
        </w:rPr>
        <w:t>informal mechanisms</w:t>
      </w:r>
      <w:r>
        <w:rPr>
          <w:b w:val="0"/>
          <w:i w:val="0"/>
          <w:smallCaps w:val="0"/>
          <w:strike w:val="0"/>
          <w:sz w:val="22"/>
          <w:u w:val="single"/>
        </w:rPr>
        <w:t xml:space="preserve"> that complement legal rules to </w:t>
      </w:r>
      <w:r>
        <w:rPr>
          <w:b/>
          <w:i w:val="0"/>
          <w:smallCaps w:val="0"/>
          <w:strike w:val="0"/>
          <w:sz w:val="22"/>
          <w:u w:val="single"/>
        </w:rPr>
        <w:t>support cooperation</w:t>
      </w:r>
      <w:r>
        <w:rPr>
          <w:b w:val="0"/>
          <w:i w:val="0"/>
          <w:smallCaps w:val="0"/>
          <w:strike w:val="0"/>
          <w:u w:val="none"/>
        </w:rPr>
        <w:t xml:space="preserve">. </w:t>
      </w:r>
      <w:r>
        <w:rPr>
          <w:b w:val="0"/>
          <w:i w:val="0"/>
          <w:smallCaps w:val="0"/>
          <w:strike w:val="0"/>
          <w:sz w:val="22"/>
          <w:u w:val="single"/>
        </w:rPr>
        <w:t>During widespread crisis, legal enforcement would be inadequate, and informal governance helps to bolster the system</w:t>
      </w:r>
      <w:r>
        <w:rPr>
          <w:b w:val="0"/>
          <w:i w:val="0"/>
          <w:smallCaps w:val="0"/>
          <w:strike w:val="0"/>
          <w:u w:val="none"/>
        </w:rPr>
        <w:t>.</w:t>
      </w:r>
      <w:r>
        <w:rPr>
          <w:b w:val="0"/>
          <w:i w:val="0"/>
          <w:smallCaps w:val="0"/>
          <w:strike w:val="0"/>
          <w:sz w:val="12"/>
          <w:u w:val="none"/>
        </w:rPr>
        <w:t xml:space="preserve"> </w:t>
      </w:r>
      <w:r>
        <w:rPr>
          <w:b w:val="0"/>
          <w:i w:val="0"/>
          <w:smallCaps w:val="0"/>
          <w:strike w:val="0"/>
          <w:u w:val="none"/>
        </w:rPr>
        <w:t xml:space="preserve">Informal coordination is by nature difficult to observe, and we are unable to directly measure this process. Instead, we examine the variation in responses across crises of varying severity, within the context of the same formal setting of the WTO. Yet by focusing on discretionary tools of protection—trade remedies and tariff hikes within the bound rate—we can offer conclusions about how systemic crises shape country restraint independent of formal institutional constraints. Insofar as </w:t>
      </w:r>
      <w:r>
        <w:rPr>
          <w:b w:val="0"/>
          <w:i w:val="0"/>
          <w:smallCaps w:val="0"/>
          <w:strike w:val="0"/>
          <w:sz w:val="22"/>
          <w:u w:val="single"/>
        </w:rPr>
        <w:t xml:space="preserve">institutions are generating </w:t>
      </w:r>
      <w:r>
        <w:rPr>
          <w:b w:val="0"/>
          <w:i w:val="0"/>
          <w:smallCaps w:val="0"/>
          <w:strike w:val="0"/>
          <w:u w:val="none"/>
        </w:rPr>
        <w:t xml:space="preserve">such </w:t>
      </w:r>
      <w:r>
        <w:rPr>
          <w:b w:val="0"/>
          <w:i w:val="0"/>
          <w:smallCaps w:val="0"/>
          <w:strike w:val="0"/>
          <w:sz w:val="22"/>
          <w:u w:val="single"/>
        </w:rPr>
        <w:t>restraint</w:t>
      </w:r>
      <w:r>
        <w:rPr>
          <w:b w:val="0"/>
          <w:i w:val="0"/>
          <w:smallCaps w:val="0"/>
          <w:strike w:val="0"/>
          <w:u w:val="none"/>
        </w:rPr>
        <w:t xml:space="preserve">, we offer that it is </w:t>
      </w:r>
      <w:r>
        <w:rPr>
          <w:b w:val="0"/>
          <w:i w:val="0"/>
          <w:smallCaps w:val="0"/>
          <w:strike w:val="0"/>
          <w:sz w:val="22"/>
          <w:u w:val="single"/>
        </w:rPr>
        <w:t>by facilitating informal coordination</w:t>
      </w:r>
      <w:r>
        <w:rPr>
          <w:b w:val="0"/>
          <w:i w:val="0"/>
          <w:smallCaps w:val="0"/>
          <w:strike w:val="0"/>
          <w:u w:val="none"/>
        </w:rPr>
        <w:t>, since all these instruments of trade protection fall within the letter of the law. Future research should explore trade policy at the micro level to identify which pathway is the most important for coordination. Research at a more macro-historical scope could compare how countries respond to crises under fundamentally different institutional contexts.</w:t>
      </w:r>
      <w:r>
        <w:rPr>
          <w:b w:val="0"/>
          <w:i w:val="0"/>
          <w:smallCaps w:val="0"/>
          <w:strike w:val="0"/>
          <w:sz w:val="12"/>
          <w:u w:val="none"/>
        </w:rPr>
        <w:t xml:space="preserve"> </w:t>
      </w:r>
      <w:r>
        <w:rPr>
          <w:b w:val="0"/>
          <w:i w:val="0"/>
          <w:smallCaps w:val="0"/>
          <w:strike w:val="0"/>
          <w:u w:val="none"/>
        </w:rPr>
        <w:t xml:space="preserve">In sum, the determinants of protection include economic downturns not only at home but also abroad. </w:t>
      </w:r>
      <w:r>
        <w:rPr>
          <w:b w:val="0"/>
          <w:i w:val="0"/>
          <w:smallCaps w:val="0"/>
          <w:strike w:val="0"/>
          <w:sz w:val="22"/>
          <w:u w:val="single"/>
        </w:rPr>
        <w:t>Rather than reinforcing pressure for protection, pervasive crisis in the global economy is shown to generate countervailing pressure for restraint in response to domestic crisis</w:t>
      </w:r>
      <w:r>
        <w:rPr>
          <w:b w:val="0"/>
          <w:i w:val="0"/>
          <w:smallCaps w:val="0"/>
          <w:strike w:val="0"/>
          <w:u w:val="none"/>
        </w:rPr>
        <w:t xml:space="preserve">. In some cases, </w:t>
      </w:r>
      <w:r>
        <w:rPr>
          <w:b/>
          <w:i w:val="0"/>
          <w:smallCaps w:val="0"/>
          <w:strike w:val="0"/>
          <w:sz w:val="22"/>
          <w:u w:val="single"/>
        </w:rPr>
        <w:t>hard times bring more, not less, international cooperation</w:t>
      </w:r>
      <w:r>
        <w:rPr>
          <w:b w:val="0"/>
          <w:i w:val="0"/>
          <w:smallCaps w:val="0"/>
          <w:strike w:val="0"/>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