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Fears of killer concentration is overblown.</w:t>
      </w:r>
    </w:p>
    <w:p>
      <w:pPr>
        <w:spacing w:after="80"/>
      </w:pPr>
      <w:r>
        <w:rPr>
          <w:b/>
          <w:i w:val="0"/>
          <w:smallCaps w:val="0"/>
          <w:strike w:val="0"/>
          <w:sz w:val="26"/>
          <w:u w:val="none"/>
        </w:rPr>
        <w:t>Portuese 21</w:t>
      </w:r>
      <w:r>
        <w:rPr>
          <w:b w:val="0"/>
          <w:i w:val="0"/>
          <w:smallCaps w:val="0"/>
          <w:strike w:val="0"/>
          <w:u w:val="none"/>
        </w:rPr>
        <w:t xml:space="preserve"> – Aurelien Portuese is director of antitrust and innovation policy at ITIF. He leads ITIF’s </w:t>
      </w:r>
      <w:r>
        <w:rPr>
          <w:b w:val="0"/>
          <w:i w:val="0"/>
          <w:smallCaps w:val="0"/>
          <w:strike w:val="0"/>
          <w:u w:val="none"/>
        </w:rPr>
        <w:t>, advancing a dynamic framework for competition policy in which innovation is a central concern for antitrust enforcement, not a secondary consideration. He is also an adjunct professor of law at the Global Antitrust Institute of George Mason University, and at the Catholic University of Paris.</w:t>
      </w:r>
    </w:p>
    <w:p>
      <w:pPr>
        <w:spacing w:after="60"/>
      </w:pPr>
      <w:r>
        <w:rPr>
          <w:b w:val="0"/>
          <w:i w:val="0"/>
          <w:smallCaps w:val="0"/>
          <w:strike w:val="0"/>
          <w:u w:val="none"/>
        </w:rPr>
        <w:t>Aurelien Portuese, June 25 2021, “Comments to the FTC on Pharmaceutical Consolidation and Competition,” Information Technology and Innovation Foundation, https://itif.org/publications/2021/06/25/comments-ftc-pharmaceutical-consolidation-and-competition</w:t>
      </w:r>
    </w:p>
    <w:p>
      <w:pPr>
        <w:spacing w:after="60"/>
      </w:pPr>
      <w:r>
        <w:rPr>
          <w:b w:val="0"/>
          <w:i w:val="0"/>
          <w:smallCaps w:val="0"/>
          <w:strike w:val="0"/>
          <w:sz w:val="22"/>
          <w:u w:val="single"/>
        </w:rPr>
        <w:t>In pharmaceutical markets, more than anywhere else, “innovation is the name of the game.” Innovation rather than production drives the industry’s growt</w:t>
      </w:r>
      <w:r>
        <w:rPr>
          <w:b w:val="0"/>
          <w:i w:val="0"/>
          <w:smallCaps w:val="0"/>
          <w:strike w:val="0"/>
          <w:u w:val="none"/>
        </w:rPr>
        <w:t>h. Pharma markets are the pinnacle of “innovation markets” as defined by Richard Gilbert and as enshrined in the 1995 I.P. Guidelines.</w:t>
      </w:r>
      <w:r>
        <w:rPr>
          <w:b w:val="0"/>
          <w:i w:val="0"/>
          <w:smallCaps w:val="0"/>
          <w:strike w:val="0"/>
          <w:sz w:val="22"/>
          <w:u w:val="single"/>
        </w:rPr>
        <w:t xml:space="preserve"> Because innovation requires sufficient scale, firms have often gained that scale through mergers.</w:t>
      </w:r>
    </w:p>
    <w:p>
      <w:pPr>
        <w:spacing w:after="60"/>
      </w:pPr>
      <w:r>
        <w:rPr>
          <w:b w:val="0"/>
          <w:i w:val="0"/>
          <w:smallCaps w:val="0"/>
          <w:strike w:val="0"/>
          <w:u w:val="none"/>
        </w:rPr>
        <w:t xml:space="preserve">The FTC’s strong enforcement record in pharma mergers suffers a paradox: </w:t>
      </w:r>
      <w:r>
        <w:rPr>
          <w:b w:val="0"/>
          <w:i w:val="0"/>
          <w:smallCaps w:val="0"/>
          <w:strike w:val="0"/>
          <w:sz w:val="22"/>
          <w:u w:val="single"/>
        </w:rPr>
        <w:t>While more than 50 consent decrees over the last 25 years required divestitures of products as a condition for merger approval, the political pressure for stricter antitrust enforcement continues ramping up. In</w:t>
      </w:r>
      <w:r>
        <w:rPr>
          <w:b w:val="0"/>
          <w:i w:val="0"/>
          <w:smallCaps w:val="0"/>
          <w:strike w:val="0"/>
          <w:u w:val="none"/>
        </w:rPr>
        <w:t xml:space="preserve"> the year 2020 for instance, notable pharma mergers included AstraZeneca acquiring Alexion for $39 billion, Gilead acquiring Immunomedics for $21 billion, BMS acquiring MyoKardia for $13.1 billion, and Johnson &amp; Johnson acquiring Momenta for $6.5 billion. </w:t>
      </w:r>
      <w:r>
        <w:rPr>
          <w:b w:val="0"/>
          <w:i w:val="0"/>
          <w:smallCaps w:val="0"/>
          <w:strike w:val="0"/>
          <w:sz w:val="22"/>
          <w:u w:val="single"/>
        </w:rPr>
        <w:t xml:space="preserve">While popular perception of the pharmaceutical industry greatly improved with its effective response to the COVID-19 pandemic, these and other pharma mergers garnered political concerns. </w:t>
      </w:r>
    </w:p>
    <w:p>
      <w:pPr>
        <w:spacing w:after="60"/>
      </w:pPr>
      <w:r>
        <w:rPr>
          <w:b w:val="0"/>
          <w:i w:val="0"/>
          <w:smallCaps w:val="0"/>
          <w:strike w:val="0"/>
          <w:u w:val="none"/>
        </w:rPr>
        <w:t>The political pressure increased partly in response to an academic paper, “Killer Acquisitions,” by Colleen Cunningham, Florian Ederer, and Song Ma. The idea behind killer acquisition theory is that an incumbent buys an innovative nascent company developing a competing product and discontinues the competing product. The acquisition pre-empts future competition. The incumbent killed the potential rival and thereby distorted competition and stifled innovation. The antitrust implications are straightforward: Killer acquisitions go unnoticed by antitrust authorities and require a change of law and new theories of harm. In that regard, the present call for public input fits into the perceived need that the current antitrust framework cannot catch some detrimental mergers. Cunningham et al. assert that killer acquisitions represent only a small share of mergers: 5.3 to 7.4 percent of mergers.</w:t>
      </w:r>
    </w:p>
    <w:p>
      <w:pPr>
        <w:spacing w:after="60"/>
      </w:pPr>
      <w:r>
        <w:rPr>
          <w:b w:val="0"/>
          <w:i w:val="0"/>
          <w:smallCaps w:val="0"/>
          <w:strike w:val="0"/>
          <w:u w:val="none"/>
        </w:rPr>
        <w:t xml:space="preserve">But does the killer acquisition theory materialize in business reality? Do incumbents ever discontinue the acquired firm’s products for anticompetitive reasons? </w:t>
      </w:r>
      <w:r>
        <w:rPr>
          <w:b w:val="0"/>
          <w:i w:val="0"/>
          <w:smallCaps w:val="0"/>
          <w:strike w:val="0"/>
          <w:sz w:val="22"/>
          <w:u w:val="single"/>
        </w:rPr>
        <w:t>At least one study finds a similar share as Cunningham et al. and suggests that approximately 95 percent of pharma mergers are not “killer acquisitions.” And within the five percent that are allegedly problematic, any discontinuation of products requires balancing against counterfactuals absent the merge</w:t>
      </w:r>
      <w:r>
        <w:rPr>
          <w:b w:val="0"/>
          <w:i w:val="0"/>
          <w:smallCaps w:val="0"/>
          <w:strike w:val="0"/>
          <w:u w:val="none"/>
        </w:rPr>
        <w:t>r. Would discontinuation of the drug have occurred irrespective of the merger due to changing market circumstances or due to different corporate strategies? The authors of the killer acquisition theory assume that these five allegedly problematic percent are all anticompetitive acquisitions. In fact, this number could very well be less. Madl qualifies the very notion of killer acquisition stating that:</w:t>
      </w:r>
    </w:p>
    <w:p>
      <w:pPr>
        <w:spacing w:after="60"/>
      </w:pPr>
      <w:r>
        <w:rPr>
          <w:b w:val="0"/>
          <w:i w:val="0"/>
          <w:smallCaps w:val="0"/>
          <w:strike w:val="0"/>
          <w:sz w:val="22"/>
          <w:u w:val="single"/>
        </w:rPr>
        <w:t xml:space="preserve">The mechanism of action used in the Cunningham, Ederer, and Ma study to identify cases of overlap is not mutation-specific, meaning that two drugs targeting the same enzyme and having the same net effect (e.g., inhibition) may not treat the same patients. Accordingly, purchasing the second drug could expand the acquirer’s market, rather than cannibalize sales. </w:t>
      </w:r>
    </w:p>
    <w:p>
      <w:pPr>
        <w:spacing w:after="60"/>
      </w:pPr>
      <w:r>
        <w:rPr>
          <w:b w:val="0"/>
          <w:i w:val="0"/>
          <w:smallCaps w:val="0"/>
          <w:strike w:val="0"/>
          <w:u w:val="none"/>
        </w:rPr>
        <w:t>In other words, Cunningham et al. overlook the possible positive effects on competition and innovation of these acquisitions. The notion of killer acquisitions overly emphasizes Kenneth Arrow’s concept replacement effect of innovation and overlooks the Schumpeterian aspect of innovation. In other words, the tenets of the notion of killer acquisitions rest upon the assumption that a dominant firm would acquire a rival to avoid the rival’s product “cannibalizing” the dominant firm’s profits. H</w:t>
      </w:r>
      <w:r>
        <w:rPr>
          <w:b w:val="0"/>
          <w:i w:val="0"/>
          <w:smallCaps w:val="0"/>
          <w:strike w:val="0"/>
          <w:sz w:val="22"/>
          <w:u w:val="single"/>
        </w:rPr>
        <w:t xml:space="preserve">owever, the acquiring firm may seek to create complementarities, thereby opening new markets. Schumpeter indeed wrote that entering new markets (through organic growth or mergers) “incessantly revolutionizes the economic structure from within, incessantly destroying the old one, incessantly creating a new one. This process of Creative Destruction is the essential fact about capitalism.” </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