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Most countries don’t allow copyrighting standards.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Griffin and Saunders 24</w:t>
      </w:r>
      <w:r>
        <w:rPr>
          <w:b w:val="0"/>
          <w:i w:val="0"/>
          <w:smallCaps w:val="0"/>
          <w:strike w:val="0"/>
          <w:u w:val="none"/>
        </w:rPr>
        <w:t xml:space="preserve"> – Senior Vice President and General Counsel at the American National Standards Institute, J.D. from Albany Law School; Senior Vice President of Public Policy at the American National Standards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Patricia A. Griffin and Maury Saunders, “ANSI Publishes Action Brief on IBR Landscape for SDOs,” American National Standards Institute, 05-09-2024, https://www.ansi.org/standards-news/all-news/2024/05/5-9-24-ansi-publishes-action-brief-on-ibr-landscape-for-sdos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Global Trends in IBR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Finding </w:t>
      </w:r>
      <w:r>
        <w:rPr>
          <w:b/>
          <w:i w:val="0"/>
          <w:smallCaps w:val="0"/>
          <w:strike w:val="0"/>
          <w:sz w:val="22"/>
          <w:u w:val="single"/>
        </w:rPr>
        <w:t>exceptions to copyright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IBR’d standards is </w:t>
      </w:r>
      <w:r>
        <w:rPr>
          <w:b/>
          <w:i w:val="0"/>
          <w:smallCaps w:val="0"/>
          <w:strike w:val="0"/>
          <w:sz w:val="22"/>
          <w:u w:val="single"/>
        </w:rPr>
        <w:t>gaining acceptance globally.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PublicResource.Org, </w:t>
      </w:r>
      <w:r>
        <w:rPr>
          <w:b w:val="0"/>
          <w:i w:val="0"/>
          <w:smallCaps w:val="0"/>
          <w:strike w:val="0"/>
          <w:sz w:val="22"/>
          <w:u w:val="single"/>
        </w:rPr>
        <w:t>the principal plaintiff in</w:t>
      </w:r>
      <w:r>
        <w:rPr>
          <w:b w:val="0"/>
          <w:i w:val="0"/>
          <w:smallCaps w:val="0"/>
          <w:strike w:val="0"/>
          <w:u w:val="none"/>
        </w:rPr>
        <w:t xml:space="preserve"> many of </w:t>
      </w:r>
      <w:r>
        <w:rPr>
          <w:b w:val="0"/>
          <w:i w:val="0"/>
          <w:smallCaps w:val="0"/>
          <w:strike w:val="0"/>
          <w:sz w:val="22"/>
          <w:u w:val="single"/>
        </w:rPr>
        <w:t>these cases</w:t>
      </w:r>
      <w:r>
        <w:rPr>
          <w:b w:val="0"/>
          <w:i w:val="0"/>
          <w:smallCaps w:val="0"/>
          <w:strike w:val="0"/>
          <w:u w:val="none"/>
        </w:rPr>
        <w:t xml:space="preserve"> (</w:t>
      </w:r>
      <w:r>
        <w:rPr>
          <w:b w:val="0"/>
          <w:i w:val="0"/>
          <w:smallCaps w:val="0"/>
          <w:strike w:val="0"/>
          <w:sz w:val="22"/>
          <w:u w:val="single"/>
        </w:rPr>
        <w:t>including the U.S.-based, ASTM case</w:t>
      </w:r>
      <w:r>
        <w:rPr>
          <w:b w:val="0"/>
          <w:i w:val="0"/>
          <w:smallCaps w:val="0"/>
          <w:strike w:val="0"/>
          <w:u w:val="none"/>
        </w:rPr>
        <w:t xml:space="preserve"> previously mentioned),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winning cases in </w:t>
      </w:r>
      <w:r>
        <w:rPr>
          <w:b/>
          <w:i w:val="0"/>
          <w:smallCaps w:val="0"/>
          <w:strike w:val="0"/>
          <w:sz w:val="22"/>
          <w:u w:val="single"/>
        </w:rPr>
        <w:t>many jurisdictions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a decision released earlier this year, </w:t>
      </w:r>
      <w:r>
        <w:rPr>
          <w:b w:val="0"/>
          <w:i w:val="0"/>
          <w:smallCaps w:val="0"/>
          <w:strike w:val="0"/>
          <w:sz w:val="22"/>
          <w:u w:val="single"/>
        </w:rPr>
        <w:t>the EU Court of Justice</w:t>
      </w:r>
      <w:r>
        <w:rPr>
          <w:b w:val="0"/>
          <w:i w:val="0"/>
          <w:smallCaps w:val="0"/>
          <w:strike w:val="0"/>
          <w:u w:val="none"/>
        </w:rPr>
        <w:t xml:space="preserve"> similarly </w:t>
      </w:r>
      <w:r>
        <w:rPr>
          <w:b w:val="0"/>
          <w:i w:val="0"/>
          <w:smallCaps w:val="0"/>
          <w:strike w:val="0"/>
          <w:sz w:val="22"/>
          <w:u w:val="single"/>
        </w:rPr>
        <w:t>found</w:t>
      </w:r>
      <w:r>
        <w:rPr>
          <w:b w:val="0"/>
          <w:i w:val="0"/>
          <w:smallCaps w:val="0"/>
          <w:strike w:val="0"/>
          <w:u w:val="none"/>
        </w:rPr>
        <w:t xml:space="preserve"> that certain European Harmonised Technical </w:t>
      </w:r>
      <w:r>
        <w:rPr>
          <w:b w:val="0"/>
          <w:i w:val="0"/>
          <w:smallCaps w:val="0"/>
          <w:strike w:val="0"/>
          <w:sz w:val="22"/>
          <w:u w:val="single"/>
        </w:rPr>
        <w:t>Standards must be freely available</w:t>
      </w:r>
      <w:r>
        <w:rPr>
          <w:b w:val="0"/>
          <w:i w:val="0"/>
          <w:smallCaps w:val="0"/>
          <w:strike w:val="0"/>
          <w:u w:val="none"/>
        </w:rPr>
        <w:t xml:space="preserve"> without charge because of the overriding public interest in the law justifying disclosure of those standards.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