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SDOs won’t refuse to participate.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Gellis 17</w:t>
      </w:r>
      <w:r>
        <w:rPr>
          <w:b w:val="0"/>
          <w:i w:val="0"/>
          <w:smallCaps w:val="0"/>
          <w:strike w:val="0"/>
          <w:u w:val="none"/>
        </w:rPr>
        <w:t xml:space="preserve"> – Intellectual Property and Technology Attorney, J.D. from Boston University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Catherine R. Gellis, “Brief of Amici Curiae Members of Congress in Support of Defendant-Appellant and For Reversal,” United States Court of Appeals for the District of Columbia Circuit, 09-25-2017, https://law.resource.org/pub/us/cfr/regulations.gov.astm.appeal/1694498.pdf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/>
          <w:i w:val="0"/>
          <w:smallCaps w:val="0"/>
          <w:strike w:val="0"/>
          <w:sz w:val="22"/>
          <w:u w:val="single"/>
        </w:rPr>
        <w:t>seems unlikely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SDOs would refuse to participate in the legislative process were they to be denied a copyright interest in the resulting law, as their membership is generally comprised of individuals and entities with a </w:t>
      </w:r>
      <w:r>
        <w:rPr>
          <w:b/>
          <w:i w:val="0"/>
          <w:smallCaps w:val="0"/>
          <w:strike w:val="0"/>
          <w:sz w:val="22"/>
          <w:u w:val="single"/>
        </w:rPr>
        <w:t>direct stake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</w:t>
      </w:r>
      <w:r>
        <w:rPr>
          <w:b/>
          <w:i w:val="0"/>
          <w:smallCaps w:val="0"/>
          <w:strike w:val="0"/>
          <w:sz w:val="22"/>
          <w:u w:val="single"/>
        </w:rPr>
        <w:t>outcome of any law or regulation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also often </w:t>
      </w:r>
      <w:r>
        <w:rPr>
          <w:b/>
          <w:i w:val="0"/>
          <w:smallCaps w:val="0"/>
          <w:strike w:val="0"/>
          <w:sz w:val="22"/>
          <w:u w:val="single"/>
        </w:rPr>
        <w:t>profit in ancillary ways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their contributions, such as through </w:t>
      </w:r>
      <w:r>
        <w:rPr>
          <w:b/>
          <w:i w:val="0"/>
          <w:smallCaps w:val="0"/>
          <w:strike w:val="0"/>
          <w:sz w:val="22"/>
          <w:u w:val="single"/>
        </w:rPr>
        <w:t>publishing complementary publications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</w:t>
      </w:r>
      <w:r>
        <w:rPr>
          <w:b/>
          <w:i w:val="0"/>
          <w:smallCaps w:val="0"/>
          <w:strike w:val="0"/>
          <w:sz w:val="22"/>
          <w:u w:val="single"/>
        </w:rPr>
        <w:t>providing other explanatory service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>. See e.g., All Published Symposia Papers &amp; STPs, ASTM (last visited Sep. 23, 2017) 5 ; Books and Other Products, ANSI(last visited Sep 23, 2017). 6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