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If we win case defense, the CP is an easy crush.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Hickey 23</w:t>
      </w:r>
      <w:r>
        <w:rPr>
          <w:b w:val="0"/>
          <w:i w:val="0"/>
          <w:smallCaps w:val="0"/>
          <w:strike w:val="0"/>
          <w:u w:val="none"/>
        </w:rPr>
        <w:t xml:space="preserve"> – Legislative Attorney at the Congressional Research Service, former Fellow at the University of California, Berkeley, J.D. from New York University School of Law.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Kevin J. Hickey, “Copyright in Standards Incorporated by Reference into Law and the Pro Codes Act,” Congressional Research Service, 09-26-2023, https://sgp.fas.org/crs/misc/R47656.pdf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Pro Codes Act represents one possible option for legislating in this area. On the inventive end of the spectrum</w:t>
      </w:r>
      <w:r>
        <w:rPr>
          <w:b w:val="0"/>
          <w:i w:val="0"/>
          <w:smallCaps w:val="0"/>
          <w:strike w:val="0"/>
          <w:sz w:val="22"/>
          <w:u w:val="single"/>
        </w:rPr>
        <w:t>, if Congress found that existing legal provisions</w:t>
      </w:r>
      <w:r>
        <w:rPr>
          <w:b w:val="0"/>
          <w:i w:val="0"/>
          <w:smallCaps w:val="0"/>
          <w:strike w:val="0"/>
          <w:u w:val="none"/>
        </w:rPr>
        <w:t xml:space="preserve">144 </w:t>
      </w:r>
      <w:r>
        <w:rPr>
          <w:b w:val="0"/>
          <w:i w:val="0"/>
          <w:smallCaps w:val="0"/>
          <w:strike w:val="0"/>
          <w:sz w:val="22"/>
          <w:u w:val="single"/>
        </w:rPr>
        <w:t>and market incentives are sufficient to facilitate public availability</w:t>
      </w:r>
      <w:r>
        <w:rPr>
          <w:b w:val="0"/>
          <w:i w:val="0"/>
          <w:smallCaps w:val="0"/>
          <w:strike w:val="0"/>
          <w:u w:val="none"/>
        </w:rPr>
        <w:t xml:space="preserve">,145 </w:t>
      </w:r>
      <w:r>
        <w:rPr>
          <w:b w:val="0"/>
          <w:i w:val="0"/>
          <w:smallCaps w:val="0"/>
          <w:strike w:val="0"/>
          <w:sz w:val="22"/>
          <w:u w:val="single"/>
        </w:rPr>
        <w:t>it might choose to strengthen SDOs’ copyright</w:t>
      </w:r>
      <w:r>
        <w:rPr>
          <w:b w:val="0"/>
          <w:i w:val="0"/>
          <w:smallCaps w:val="0"/>
          <w:strike w:val="0"/>
          <w:u w:val="none"/>
        </w:rPr>
        <w:t xml:space="preserve"> without imposing online-access requirements. On the access end,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if Congress found that copyright was unnecessary for SDOs, it could </w:t>
      </w:r>
      <w:r>
        <w:rPr>
          <w:b/>
          <w:i w:val="0"/>
          <w:smallCaps w:val="0"/>
          <w:strike w:val="0"/>
          <w:sz w:val="22"/>
          <w:u w:val="single"/>
        </w:rPr>
        <w:t>provide that incorporation by reference places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an IBR standard in the public domain</w:t>
      </w:r>
      <w:r>
        <w:rPr>
          <w:b w:val="0"/>
          <w:i w:val="0"/>
          <w:smallCaps w:val="0"/>
          <w:strike w:val="0"/>
          <w:sz w:val="22"/>
          <w:u w:val="single"/>
        </w:rPr>
        <w:t>, perhaps by expanding the reach of the statute denying copyright to government works</w:t>
      </w:r>
      <w:r>
        <w:rPr>
          <w:b w:val="0"/>
          <w:i w:val="0"/>
          <w:smallCaps w:val="0"/>
          <w:strike w:val="0"/>
          <w:u w:val="none"/>
        </w:rPr>
        <w:t>.146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