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SDOs will embrace the option because it means they can influence government policy.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Bremer 12</w:t>
      </w:r>
      <w:r>
        <w:rPr>
          <w:b w:val="0"/>
          <w:i w:val="0"/>
          <w:smallCaps w:val="0"/>
          <w:strike w:val="0"/>
          <w:u w:val="none"/>
        </w:rPr>
        <w:t xml:space="preserve"> – Professor of Law at the University of Notre Dame, J.D. from the New York University School of Law.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Emily S. Bremer, “Incorporation by Reference in Federal Regulations,” Administrative Conference of the United States, 11-15-2012, https://www.acus.gov/sites/default/files/documents/Bremer-Incorporation-by-Reference-Slides-11-15-12.pdf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Why Incorporate by Reference?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>Original purpose was to shorten the Federal Register and CFR.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>Avoid repetition of materials available in Commerce Clearing House, West publications, etc. See S. REP. 1219, at 11 (1964).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 xml:space="preserve">Some materials cannot be printed in the hard copy editions of the Federal Register and CFR. 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 xml:space="preserve">Maps, schematics, other technical material, etc. 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 xml:space="preserve">Some materials, including most voluntary consensus standards, are copyrighted. 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>But see Veeck v. Southern Building Code Congress International, Inc., 293 F.3d 791 (5th Cir. 2002).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>Federal Standards Policy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>Agencies are generally required to use voluntary consensus standards in regulations in lieu of creating government-unique technical standards to fulfill regulatory needs.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>This approach can be traced back to Administrative Conference Recommendation 78-4, addressing the use of voluntary consensus standards in health and safety regulation.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>Office of Management and Budget Circular A-119 requires agencies to use voluntary consensus standards in regulatory and procurement activities “except where inconsistent with law or otherwise impractical.”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>This policy was partially codified in the National Technology Transfer and Advancement Act of 1995.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>Standards in Regulations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>Under OMB Circular A-119 and the NTTAA, the National Institute of Standards and Technology (NIST) plays a central, coordinating role.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>Provides training and advice to agencies and coordinates the Interagency Committee on Standards Policy.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 xml:space="preserve">More information at </w:t>
      </w:r>
      <w:r>
        <w:rPr>
          <w:b w:val="0"/>
          <w:i w:val="0"/>
          <w:smallCaps w:val="0"/>
          <w:strike w:val="0"/>
          <w:sz w:val="12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>Standards Incorporated by Reference (SIBR) Database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As of November 13, 2012, the </w:t>
      </w:r>
      <w:r>
        <w:rPr>
          <w:b w:val="0"/>
          <w:i w:val="0"/>
          <w:smallCaps w:val="0"/>
          <w:strike w:val="0"/>
          <w:sz w:val="22"/>
          <w:u w:val="single"/>
        </w:rPr>
        <w:t>database identified 9,557 incorporations by reference</w:t>
      </w:r>
      <w:r>
        <w:rPr>
          <w:b w:val="0"/>
          <w:i w:val="0"/>
          <w:smallCaps w:val="0"/>
          <w:strike w:val="0"/>
          <w:u w:val="none"/>
        </w:rPr>
        <w:t xml:space="preserve"> of standards in the CFR.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Includes voluntary consensus standards, government-unique standards, private industry standards, and international standards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Benefits of Federal Standards Policy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Federal standards policy yields </w:t>
      </w:r>
      <w:r>
        <w:rPr>
          <w:b/>
          <w:i w:val="0"/>
          <w:smallCaps w:val="0"/>
          <w:strike w:val="0"/>
          <w:sz w:val="22"/>
          <w:u w:val="single"/>
        </w:rPr>
        <w:t>significant benefits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agencies, regulated industry, and the public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Agencies save time and money in rulemaking</w:t>
      </w:r>
      <w:r>
        <w:rPr>
          <w:b w:val="0"/>
          <w:i w:val="0"/>
          <w:smallCaps w:val="0"/>
          <w:strike w:val="0"/>
          <w:u w:val="none"/>
        </w:rPr>
        <w:t>, get access to extensive technical expertise outside government, and reduce enforcement costs.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Regulated parties benefit from </w:t>
      </w:r>
      <w:r>
        <w:rPr>
          <w:b/>
          <w:i w:val="0"/>
          <w:smallCaps w:val="0"/>
          <w:strike w:val="0"/>
          <w:sz w:val="22"/>
          <w:u w:val="single"/>
        </w:rPr>
        <w:t>additional opportunities to contribute to standards development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reduced compliance costs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u w:val="single"/>
        </w:rPr>
        <w:t>less regulatory confusion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