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 free access mandate is possible and solves other barriers to access.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19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“Technical Standards Meet Administrative Law: A Teaching Guide on Incorporation by Reference,” Notre Dame Law School Scholarship, https://scholarship.law.nd.edu/law_faculty_scholarship/1406/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Free Access Mandate</w:t>
      </w:r>
      <w:r>
        <w:rPr>
          <w:b w:val="0"/>
          <w:i w:val="0"/>
          <w:smallCaps w:val="0"/>
          <w:strike w:val="0"/>
          <w:u w:val="none"/>
        </w:rPr>
        <w:t xml:space="preserve">. For many students,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most obvious solution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incorporation by reference's public access problem would be to </w:t>
      </w:r>
      <w:r>
        <w:rPr>
          <w:b/>
          <w:i w:val="0"/>
          <w:smallCaps w:val="0"/>
          <w:strike w:val="0"/>
          <w:sz w:val="22"/>
          <w:u w:val="single"/>
        </w:rPr>
        <w:t>mandate free access to incorporated standards</w:t>
      </w:r>
      <w:r>
        <w:rPr>
          <w:b w:val="0"/>
          <w:i w:val="0"/>
          <w:smallCaps w:val="0"/>
          <w:strike w:val="0"/>
          <w:u w:val="none"/>
        </w:rPr>
        <w:t xml:space="preserve">. Because the government neither creates nor has unilateral control over private standards that are or may be incorporated by reference,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free access mandate would most likely need to be structured as a </w:t>
      </w:r>
      <w:r>
        <w:rPr>
          <w:b/>
          <w:i w:val="0"/>
          <w:smallCaps w:val="0"/>
          <w:strike w:val="0"/>
          <w:sz w:val="22"/>
          <w:u w:val="single"/>
        </w:rPr>
        <w:t>statutory requirement</w:t>
      </w:r>
      <w:r>
        <w:rPr>
          <w:b w:val="0"/>
          <w:i w:val="0"/>
          <w:smallCaps w:val="0"/>
          <w:strike w:val="0"/>
          <w:u w:val="none"/>
        </w:rPr>
        <w:t xml:space="preserve"> that agencies only use standards that the public can freely access. The requirement could be imposed via a government-wide statute, perhaps enacted as an amendment to 5 U.S.C. § 552(a)(1</w:t>
      </w:r>
      <w:r>
        <w:rPr>
          <w:b w:val="0"/>
          <w:i w:val="0"/>
          <w:smallCaps w:val="0"/>
          <w:strike w:val="0"/>
          <w:sz w:val="22"/>
          <w:u w:val="single"/>
        </w:rPr>
        <w:t>). This has the virtue of addressing the issue definitively in a single, governmentwide statute</w:t>
      </w:r>
      <w:r>
        <w:rPr>
          <w:b w:val="0"/>
          <w:i w:val="0"/>
          <w:smallCaps w:val="0"/>
          <w:strike w:val="0"/>
          <w:u w:val="none"/>
        </w:rPr>
        <w:t>. There are a variety ofissues to consider in evaluating this possibility: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