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would solve problems with public access.</w:t>
      </w:r>
    </w:p>
    <w:p>
      <w:pPr>
        <w:spacing w:after="80"/>
      </w:pPr>
      <w:r>
        <w:rPr>
          <w:b/>
          <w:i w:val="0"/>
          <w:smallCaps w:val="0"/>
          <w:strike w:val="0"/>
          <w:sz w:val="26"/>
          <w:u w:val="none"/>
        </w:rPr>
        <w:t>Rosen 16</w:t>
      </w:r>
      <w:r>
        <w:rPr>
          <w:b w:val="0"/>
          <w:i w:val="0"/>
          <w:smallCaps w:val="0"/>
          <w:strike w:val="0"/>
          <w:u w:val="none"/>
        </w:rPr>
        <w:t xml:space="preserve"> – former Professor of Law at Georgetown University, Director of the Administrative Law and Regulatory Practice Section at the American Bar Association, J.D. from Harvard Law School.</w:t>
      </w:r>
    </w:p>
    <w:p>
      <w:pPr>
        <w:spacing w:after="60"/>
      </w:pPr>
      <w:r>
        <w:rPr>
          <w:b w:val="0"/>
          <w:i w:val="0"/>
          <w:smallCaps w:val="0"/>
          <w:strike w:val="0"/>
          <w:u w:val="none"/>
        </w:rPr>
        <w:t>Jeffrey A. Rosen, “Report to the House of Delegates,” American Bar Association, https://www.americanbar.org/content/dam/aba/administrative/house_of_delegates/ebook-of-resolutions-with-reports/2016_hod_annual_meeting_electronic_report_book1.pdf#page=403</w:t>
      </w:r>
    </w:p>
    <w:p>
      <w:pPr>
        <w:spacing w:after="60"/>
      </w:pPr>
      <w:r>
        <w:rPr>
          <w:b w:val="0"/>
          <w:i w:val="0"/>
          <w:smallCaps w:val="0"/>
          <w:strike w:val="0"/>
          <w:u w:val="none"/>
        </w:rPr>
        <w:t xml:space="preserve">As discussed in greater detail below, the resolution incorporates a number of limitations on the recommended public access requirements, so as to ameliorate any reduction in the economic value of copyrighted standards. In some instances, however, these limitations may not obviate the need for additional funding from the government to compensate SDOs for the use of their standards. The extent to which the access requirements contemplated by the resolution would give rise to a need for compensation in a host of different contexts cannot be predicted with certainty. The resolution leaves these determinations to be made between agencies and SDOs during the process through which authorization for use of copyrighted material is secured. </w:t>
      </w:r>
      <w:r>
        <w:rPr>
          <w:b w:val="0"/>
          <w:i w:val="0"/>
          <w:smallCaps w:val="0"/>
          <w:strike w:val="0"/>
          <w:sz w:val="22"/>
          <w:u w:val="single"/>
        </w:rPr>
        <w:t>The ultimate point, however, is that society benefits from the public's ability to obtain access to requirements incorporated by reference into federal regulations</w:t>
      </w:r>
      <w:r>
        <w:rPr>
          <w:b w:val="0"/>
          <w:i w:val="0"/>
          <w:smallCaps w:val="0"/>
          <w:strike w:val="0"/>
          <w:u w:val="none"/>
        </w:rPr>
        <w:t xml:space="preserve">; thus, in situations in which agencies elect to continue to rely on IBR rules and conclude, in consultation with SDOs, that compensation is appropriate, </w:t>
      </w:r>
      <w:r>
        <w:rPr>
          <w:b w:val="0"/>
          <w:i w:val="0"/>
          <w:smallCaps w:val="0"/>
          <w:strike w:val="0"/>
          <w:sz w:val="22"/>
          <w:u w:val="single"/>
        </w:rPr>
        <w:t>the expenditure of public resources to support such access should be considered legitimate and worthwhile, and Congress should be willing to fund such expenditures</w:t>
      </w:r>
      <w:r>
        <w:rPr>
          <w:b w:val="0"/>
          <w:i w:val="0"/>
          <w:smallCaps w:val="0"/>
          <w:strike w:val="0"/>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