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There’s no downside --- other laws are treated the same way.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Mendelson 14</w:t>
      </w:r>
      <w:r>
        <w:rPr>
          <w:b w:val="0"/>
          <w:i w:val="0"/>
          <w:smallCaps w:val="0"/>
          <w:strike w:val="0"/>
          <w:u w:val="none"/>
        </w:rPr>
        <w:t xml:space="preserve"> – Joseph L. Sax Collegiate Professor of Law at the University of Michigan, J.D. from Yale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Nina Mendelson, “Private Control over Access to Public Law: The Perplexing Federal Regulatory Use of Private Standards,” Michigan Law Scholarship Repository, 03-01-2014, https://repository.law.umich.edu/articles/887/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Full digital access without charge</w:t>
      </w:r>
      <w:r>
        <w:rPr>
          <w:b w:val="0"/>
          <w:i w:val="0"/>
          <w:smallCaps w:val="0"/>
          <w:strike w:val="0"/>
          <w:u w:val="none"/>
        </w:rPr>
        <w:t xml:space="preserve">, beyond what is available at governmental depository libraries, would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place access to IBR standards </w:t>
      </w:r>
      <w:r>
        <w:rPr>
          <w:b/>
          <w:i w:val="0"/>
          <w:smallCaps w:val="0"/>
          <w:strike w:val="0"/>
          <w:sz w:val="22"/>
          <w:u w:val="single"/>
        </w:rPr>
        <w:t>on the same footing as other federal regulations</w:t>
      </w:r>
      <w:r>
        <w:rPr>
          <w:b w:val="0"/>
          <w:i w:val="0"/>
          <w:smallCaps w:val="0"/>
          <w:strike w:val="0"/>
          <w:u w:val="none"/>
        </w:rPr>
        <w:t>. (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sort of access </w:t>
      </w:r>
      <w:r>
        <w:rPr>
          <w:b/>
          <w:i w:val="0"/>
          <w:smallCaps w:val="0"/>
          <w:strike w:val="0"/>
          <w:sz w:val="22"/>
          <w:u w:val="single"/>
        </w:rPr>
        <w:t>would not necessarily preclude SDOs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from </w:t>
      </w:r>
      <w:r>
        <w:rPr>
          <w:b/>
          <w:i w:val="0"/>
          <w:smallCaps w:val="0"/>
          <w:strike w:val="0"/>
          <w:sz w:val="22"/>
          <w:u w:val="single"/>
        </w:rPr>
        <w:t>selling books of standards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much as the Government Printing Office continues </w:t>
      </w:r>
      <w:r>
        <w:rPr>
          <w:b/>
          <w:i w:val="0"/>
          <w:smallCaps w:val="0"/>
          <w:strike w:val="0"/>
          <w:sz w:val="22"/>
          <w:u w:val="single"/>
        </w:rPr>
        <w:t>to sell bound reference sets of the CFR</w:t>
      </w:r>
      <w:r>
        <w:rPr>
          <w:b w:val="0"/>
          <w:i w:val="0"/>
          <w:smallCaps w:val="0"/>
          <w:strike w:val="0"/>
          <w:u w:val="none"/>
        </w:rPr>
        <w:t xml:space="preserve">.) </w:t>
      </w:r>
      <w:r>
        <w:rPr>
          <w:b w:val="0"/>
          <w:i w:val="0"/>
          <w:smallCaps w:val="0"/>
          <w:strike w:val="0"/>
          <w:sz w:val="22"/>
          <w:u w:val="single"/>
        </w:rPr>
        <w:t>The current read-only access</w:t>
      </w:r>
      <w:r>
        <w:rPr>
          <w:b w:val="0"/>
          <w:i w:val="0"/>
          <w:smallCaps w:val="0"/>
          <w:strike w:val="0"/>
          <w:u w:val="none"/>
        </w:rPr>
        <w:t xml:space="preserve"> to these standards occasionally provided at the option of SDOs and on SDO websites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u w:val="single"/>
        </w:rPr>
        <w:t>insufficient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The SDOs typically claim the right to revoke this access at will</w:t>
      </w:r>
      <w:r>
        <w:rPr>
          <w:b w:val="0"/>
          <w:i w:val="0"/>
          <w:smallCaps w:val="0"/>
          <w:strike w:val="0"/>
          <w:u w:val="none"/>
        </w:rPr>
        <w:t>, and no enforceable commitments assure ongoing access.357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