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It’s key to democracy.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Rosen 16</w:t>
      </w:r>
      <w:r>
        <w:rPr>
          <w:b w:val="0"/>
          <w:i w:val="0"/>
          <w:smallCaps w:val="0"/>
          <w:strike w:val="0"/>
          <w:u w:val="none"/>
        </w:rPr>
        <w:t xml:space="preserve"> – former Professor of Law at Georgetown University, Director of the Administrative Law and Regulatory Practice Section at the American Bar Association, J.D. from Harvard Law School.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Jeffrey A. Rosen, “Report to the House of Delegates,” American Bar Association, https://www.americanbar.org/content/dam/aba/administrative/house_of_delegates/ebook-of-resolutions-with-reports/2016_hod_annual_meeting_electronic_report_book1.pdf#page=403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This resolution is a successor to Resolution 106A, which the Section of Administrative Law and Regulatory Practice submitted to the House of Delegates for action at the 2016 Midyear Meeting. </w:t>
      </w:r>
      <w:r>
        <w:rPr>
          <w:b w:val="0"/>
          <w:i w:val="0"/>
          <w:smallCaps w:val="0"/>
          <w:strike w:val="0"/>
          <w:sz w:val="22"/>
          <w:u w:val="single"/>
        </w:rPr>
        <w:t>That</w:t>
      </w:r>
      <w:r>
        <w:rPr>
          <w:b w:val="0"/>
          <w:i w:val="0"/>
          <w:smallCaps w:val="0"/>
          <w:strike w:val="0"/>
          <w:u w:val="none"/>
        </w:rPr>
        <w:t xml:space="preserve"> earlier </w:t>
      </w:r>
      <w:r>
        <w:rPr>
          <w:b w:val="0"/>
          <w:i w:val="0"/>
          <w:smallCaps w:val="0"/>
          <w:strike w:val="0"/>
          <w:sz w:val="22"/>
          <w:u w:val="single"/>
        </w:rPr>
        <w:t>version would have urged Congress to</w:t>
      </w:r>
      <w:r>
        <w:rPr>
          <w:b w:val="0"/>
          <w:i w:val="0"/>
          <w:smallCaps w:val="0"/>
          <w:strike w:val="0"/>
          <w:u w:val="none"/>
        </w:rPr>
        <w:t xml:space="preserve"> amend the Administrative Procedure Act to </w:t>
      </w:r>
      <w:r>
        <w:rPr>
          <w:b/>
          <w:i w:val="0"/>
          <w:smallCaps w:val="0"/>
          <w:strike w:val="0"/>
          <w:sz w:val="22"/>
          <w:u w:val="single"/>
        </w:rPr>
        <w:t>require "meaningful free public availability"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of all text incorporated by reference </w:t>
      </w:r>
      <w:r>
        <w:rPr>
          <w:b w:val="0"/>
          <w:i w:val="0"/>
          <w:smallCaps w:val="0"/>
          <w:strike w:val="0"/>
          <w:u w:val="none"/>
        </w:rPr>
        <w:t>into proposed</w:t>
      </w:r>
      <w:r>
        <w:rPr>
          <w:b w:val="0"/>
          <w:i w:val="0"/>
          <w:smallCaps w:val="0"/>
          <w:strike w:val="0"/>
          <w:u w:val="none"/>
        </w:rPr>
        <w:t xml:space="preserve"> and final substantive rules of general applicability.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However, that resolution elicited objections from several Sections. They asked Administrative Law to withdraw Resolution 106A from the Midyear Meeting agenda and to form an inter-Section task force charged with devising a substitute resolution that could attract broad support within the House. Administrative Law acceded to this request. As a result, a Task Force on Incorporation by Reference, composed of fifteen members from six Sections and one Division, was convened. 1 After extensive discussions, the task force recommended this resolution.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resolution is intended to </w:t>
      </w:r>
      <w:r>
        <w:rPr>
          <w:b/>
          <w:i w:val="0"/>
          <w:smallCaps w:val="0"/>
          <w:strike w:val="0"/>
          <w:sz w:val="22"/>
          <w:u w:val="single"/>
        </w:rPr>
        <w:t>advance the general principle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that citizens in a democratic society must be </w:t>
      </w:r>
      <w:r>
        <w:rPr>
          <w:b/>
          <w:i w:val="0"/>
          <w:smallCaps w:val="0"/>
          <w:strike w:val="0"/>
          <w:sz w:val="22"/>
          <w:u w:val="single"/>
        </w:rPr>
        <w:t>able to consult the laws that govern them.</w:t>
      </w:r>
      <w:r>
        <w:rPr>
          <w:b w:val="0"/>
          <w:i w:val="0"/>
          <w:smallCaps w:val="0"/>
          <w:strike w:val="0"/>
          <w:u w:val="none"/>
        </w:rPr>
        <w:t xml:space="preserve"> A corollary of that principle is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all citizens should </w:t>
      </w:r>
      <w:r>
        <w:rPr>
          <w:b/>
          <w:i w:val="0"/>
          <w:smallCaps w:val="0"/>
          <w:strike w:val="0"/>
          <w:sz w:val="22"/>
          <w:u w:val="single"/>
        </w:rPr>
        <w:t>have access in full to binding federal regulations</w:t>
      </w:r>
      <w:r>
        <w:rPr>
          <w:b w:val="0"/>
          <w:i w:val="0"/>
          <w:smallCaps w:val="0"/>
          <w:strike w:val="0"/>
          <w:u w:val="none"/>
        </w:rPr>
        <w:t xml:space="preserve">. Regulations themselves are published in the Federal Register and are freely available online and at all federal depository libraries. </w:t>
      </w:r>
      <w:r>
        <w:rPr>
          <w:b/>
          <w:i w:val="0"/>
          <w:smallCaps w:val="0"/>
          <w:strike w:val="0"/>
          <w:sz w:val="22"/>
          <w:u w:val="single"/>
        </w:rPr>
        <w:t>Under present law as implemented</w:t>
      </w:r>
      <w:r>
        <w:rPr>
          <w:b w:val="0"/>
          <w:i w:val="0"/>
          <w:smallCaps w:val="0"/>
          <w:strike w:val="0"/>
          <w:u w:val="none"/>
        </w:rPr>
        <w:t xml:space="preserve">, however, </w:t>
      </w:r>
      <w:r>
        <w:rPr>
          <w:b/>
          <w:i w:val="0"/>
          <w:smallCaps w:val="0"/>
          <w:strike w:val="0"/>
          <w:sz w:val="22"/>
          <w:u w:val="single"/>
        </w:rPr>
        <w:t>affordability problems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often undermine the principle of public access with respect to material that has been included in such rules through incorporation by reference </w:t>
      </w:r>
      <w:r>
        <w:rPr>
          <w:b w:val="0"/>
          <w:i w:val="0"/>
          <w:smallCaps w:val="0"/>
          <w:strike w:val="0"/>
          <w:u w:val="none"/>
        </w:rPr>
        <w:t>(IBR</w:t>
      </w:r>
      <w:r>
        <w:rPr>
          <w:b w:val="0"/>
          <w:i w:val="0"/>
          <w:smallCaps w:val="0"/>
          <w:strike w:val="0"/>
          <w:u w:val="none"/>
        </w:rPr>
        <w:t xml:space="preserve">).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legislation proposed in the resolution would provide for a </w:t>
      </w:r>
      <w:r>
        <w:rPr>
          <w:b/>
          <w:i w:val="0"/>
          <w:smallCaps w:val="0"/>
          <w:strike w:val="0"/>
          <w:sz w:val="22"/>
          <w:u w:val="single"/>
        </w:rPr>
        <w:t>common baseline of availability</w:t>
      </w:r>
      <w:r>
        <w:rPr>
          <w:b w:val="0"/>
          <w:i w:val="0"/>
          <w:smallCaps w:val="0"/>
          <w:strike w:val="0"/>
          <w:u w:val="none"/>
        </w:rPr>
        <w:t xml:space="preserve"> by requiring agencies to provide an online source at which IBR material in such rules may be consulted without charge. </w:t>
      </w:r>
      <w:r>
        <w:rPr>
          <w:b w:val="0"/>
          <w:i w:val="0"/>
          <w:smallCaps w:val="0"/>
          <w:strike w:val="0"/>
          <w:sz w:val="22"/>
          <w:u w:val="single"/>
        </w:rPr>
        <w:t>The legislation would also provide for access without charge</w:t>
      </w:r>
      <w:r>
        <w:rPr>
          <w:b w:val="0"/>
          <w:i w:val="0"/>
          <w:smallCaps w:val="0"/>
          <w:strike w:val="0"/>
          <w:u w:val="none"/>
        </w:rPr>
        <w:t xml:space="preserve"> to material incorporated by reference into proposed rules while those rules are under consideration, so that citizens may comment on those proposals.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