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would successfully increase the access of citizens.</w:t>
      </w:r>
    </w:p>
    <w:p>
      <w:pPr>
        <w:spacing w:after="80"/>
      </w:pPr>
      <w:r>
        <w:rPr>
          <w:b/>
          <w:i w:val="0"/>
          <w:smallCaps w:val="0"/>
          <w:strike w:val="0"/>
          <w:sz w:val="26"/>
          <w:u w:val="none"/>
        </w:rPr>
        <w:t>Rosen 16</w:t>
      </w:r>
      <w:r>
        <w:rPr>
          <w:b w:val="0"/>
          <w:i w:val="0"/>
          <w:smallCaps w:val="0"/>
          <w:strike w:val="0"/>
          <w:u w:val="none"/>
        </w:rPr>
        <w:t xml:space="preserve"> – former Professor of Law at Georgetown University, Director of the Administrative Law and Regulatory Practice Section at the American Bar Association, J.D. from Harvard Law School.</w:t>
      </w:r>
    </w:p>
    <w:p>
      <w:pPr>
        <w:spacing w:after="60"/>
      </w:pPr>
      <w:r>
        <w:rPr>
          <w:b w:val="0"/>
          <w:i w:val="0"/>
          <w:smallCaps w:val="0"/>
          <w:strike w:val="0"/>
          <w:u w:val="none"/>
        </w:rPr>
        <w:t>Jeffrey A. Rosen, “Report to the House of Delegates,” American Bar Association, https://www.americanbar.org/content/dam/aba/administrative/house_of_delegates/ebook-of-resolutions-with-reports/2016_hod_annual_meeting_electronic_report_book1.pdf#page=403</w:t>
      </w:r>
    </w:p>
    <w:p>
      <w:pPr>
        <w:spacing w:after="60"/>
      </w:pPr>
      <w:r>
        <w:rPr>
          <w:b w:val="0"/>
          <w:i w:val="0"/>
          <w:smallCaps w:val="0"/>
          <w:strike w:val="0"/>
          <w:u w:val="none"/>
        </w:rPr>
        <w:t>The resolution proposes legislation that would require federal agencies to provide an online source at which material that has been incorporated by reference into proposed or final regulations can be consulted without charge. At least read-only access would have to be afforded</w:t>
      </w:r>
      <w:r>
        <w:rPr>
          <w:b w:val="0"/>
          <w:i w:val="0"/>
          <w:smallCaps w:val="0"/>
          <w:strike w:val="0"/>
          <w:sz w:val="22"/>
          <w:u w:val="single"/>
        </w:rPr>
        <w:t>. This requirement would serve to enhance citizens' ability to see the law, to ascertain their legal obligations, and to comment on pending rulemaking proposals</w:t>
      </w:r>
      <w:r>
        <w:rPr>
          <w:b w:val="0"/>
          <w:i w:val="0"/>
          <w:smallCaps w:val="0"/>
          <w:strike w:val="0"/>
          <w:u w:val="none"/>
        </w:rPr>
        <w:t>. The proposed legislation would contain limitations that are designed to accommodate the intellectual property interests of organizations that create incorporated standards.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