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Perm doesn’t shield the link --- copyright protections ruin incorporation by reference.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RR 15</w:t>
      </w:r>
      <w:r>
        <w:rPr>
          <w:b w:val="0"/>
          <w:i w:val="0"/>
          <w:smallCaps w:val="0"/>
          <w:strike w:val="0"/>
          <w:u w:val="none"/>
        </w:rPr>
        <w:t xml:space="preserve"> – a regulatory news publication.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Regulatory Review, “Incorporating Private Standards into Public Regulations,” The Regulatory Review, 01-26-2015, https://www.theregreview.org/2015/01/26/series-incorporation-by-reference/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Incorporation by reference has been said to serve a valuable purpose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 can enable federal administrative agencies to capitalize on industry expertise by referencing standards developed by private organizations</w:t>
      </w:r>
      <w:r>
        <w:rPr>
          <w:b w:val="0"/>
          <w:i w:val="0"/>
          <w:smallCaps w:val="0"/>
          <w:strike w:val="0"/>
          <w:u w:val="none"/>
        </w:rPr>
        <w:t xml:space="preserve"> and incorporating them into government binding regulation.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problem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that the content of these standards</w:t>
      </w:r>
      <w:r>
        <w:rPr>
          <w:b w:val="0"/>
          <w:i w:val="0"/>
          <w:smallCaps w:val="0"/>
          <w:strike w:val="0"/>
          <w:u w:val="none"/>
        </w:rPr>
        <w:t xml:space="preserve">, although legally binding once incorporated into government rules,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can remain privately copyrighted, </w:t>
      </w:r>
      <w:r>
        <w:rPr>
          <w:b/>
          <w:i w:val="0"/>
          <w:smallCaps w:val="0"/>
          <w:strike w:val="0"/>
          <w:sz w:val="22"/>
          <w:u w:val="single"/>
        </w:rPr>
        <w:t>limiting the government’s ability to publish them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hindering the public’s ability to know what the law is</w:t>
      </w:r>
      <w:r>
        <w:rPr>
          <w:b w:val="0"/>
          <w:i w:val="0"/>
          <w:smallCaps w:val="0"/>
          <w:strike w:val="0"/>
          <w:u w:val="none"/>
        </w:rPr>
        <w:t>. If ignorance of the law excuses no one, one may well wonder: “</w:t>
      </w:r>
      <w:r>
        <w:rPr>
          <w:b w:val="0"/>
          <w:i w:val="0"/>
          <w:smallCaps w:val="0"/>
          <w:strike w:val="0"/>
          <w:sz w:val="22"/>
          <w:u w:val="single"/>
        </w:rPr>
        <w:t>What if the public cannot access or consult a particular law</w:t>
      </w:r>
      <w:r>
        <w:rPr>
          <w:b w:val="0"/>
          <w:i w:val="0"/>
          <w:smallCaps w:val="0"/>
          <w:strike w:val="0"/>
          <w:u w:val="none"/>
        </w:rPr>
        <w:t>?”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