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perm still links to the net benefit.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22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“Introducing Incorporation by Reference,” The Regulatory Review, 08-24-2022, https://www.theregreview.org/2022/08/24/bremer-introducing-incorporation-by-reference/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difficulty is that, </w:t>
      </w:r>
      <w:r>
        <w:rPr>
          <w:b w:val="0"/>
          <w:i w:val="0"/>
          <w:smallCaps w:val="0"/>
          <w:strike w:val="0"/>
          <w:sz w:val="22"/>
          <w:u w:val="single"/>
        </w:rPr>
        <w:t>when an agency incorporates a private</w:t>
      </w:r>
      <w:r>
        <w:rPr>
          <w:b w:val="0"/>
          <w:i w:val="0"/>
          <w:smallCaps w:val="0"/>
          <w:strike w:val="0"/>
          <w:u w:val="none"/>
        </w:rPr>
        <w:t xml:space="preserve">, voluntary </w:t>
      </w:r>
      <w:r>
        <w:rPr>
          <w:b w:val="0"/>
          <w:i w:val="0"/>
          <w:smallCaps w:val="0"/>
          <w:strike w:val="0"/>
          <w:sz w:val="22"/>
          <w:u w:val="single"/>
        </w:rPr>
        <w:t>standard into a regulation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regulated parties</w:t>
      </w:r>
      <w:r>
        <w:rPr>
          <w:b w:val="0"/>
          <w:i w:val="0"/>
          <w:smallCaps w:val="0"/>
          <w:strike w:val="0"/>
          <w:u w:val="none"/>
        </w:rPr>
        <w:t xml:space="preserve"> and the public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must usually </w:t>
      </w:r>
      <w:r>
        <w:rPr>
          <w:b/>
          <w:i w:val="0"/>
          <w:smallCaps w:val="0"/>
          <w:strike w:val="0"/>
          <w:sz w:val="22"/>
          <w:u w:val="single"/>
        </w:rPr>
        <w:t>pay the private standard-setting organization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see the full text of the agency’s proposed</w:t>
      </w:r>
      <w:r>
        <w:rPr>
          <w:b w:val="0"/>
          <w:i w:val="0"/>
          <w:smallCaps w:val="0"/>
          <w:strike w:val="0"/>
          <w:u w:val="none"/>
        </w:rPr>
        <w:t xml:space="preserve"> or final </w:t>
      </w:r>
      <w:r>
        <w:rPr>
          <w:b w:val="0"/>
          <w:i w:val="0"/>
          <w:smallCaps w:val="0"/>
          <w:strike w:val="0"/>
          <w:sz w:val="22"/>
          <w:u w:val="single"/>
        </w:rPr>
        <w:t>regulation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requirement is because most standard-setting organizations </w:t>
      </w:r>
      <w:r>
        <w:rPr>
          <w:b/>
          <w:i w:val="0"/>
          <w:smallCaps w:val="0"/>
          <w:strike w:val="0"/>
          <w:sz w:val="22"/>
          <w:u w:val="single"/>
        </w:rPr>
        <w:t>assert copyright over their standards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and rely on the revenue from the sale of the standards to fund their standard-setting processes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resulting financial and practical barriers to public access</w:t>
      </w:r>
      <w:r>
        <w:rPr>
          <w:b w:val="0"/>
          <w:i w:val="0"/>
          <w:smallCaps w:val="0"/>
          <w:strike w:val="0"/>
          <w:u w:val="none"/>
        </w:rPr>
        <w:t xml:space="preserve"> to incorporated standards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contrary to modern administrative law norm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>, which have been shaped by the internet and the free, ready availability it provides to statutes, regulations, and agency documents.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