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New rules solve.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Strauss 15</w:t>
      </w:r>
      <w:r>
        <w:rPr>
          <w:b w:val="0"/>
          <w:i w:val="0"/>
          <w:smallCaps w:val="0"/>
          <w:strike w:val="0"/>
          <w:u w:val="none"/>
        </w:rPr>
        <w:t xml:space="preserve"> – Betts Professor of Law at Columbia Law School and is a Senior Fellow of the Administrative Conference of the United States.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Peter Strauss, “We Decline to Define ‘Reasonably Available’,” The Regulatory Review, 01-26-2015, https://www.theregreview.org/2015/01/26/strauss-reasonably-available/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At issue in the recent OFR rulemaking was the continued practice of permitting the adoption of these incorporated</w:t>
      </w:r>
      <w:r>
        <w:rPr>
          <w:b w:val="0"/>
          <w:i w:val="0"/>
          <w:smallCaps w:val="0"/>
          <w:strike w:val="0"/>
          <w:u w:val="none"/>
        </w:rPr>
        <w:t xml:space="preserve">-by-reference </w:t>
      </w:r>
      <w:r>
        <w:rPr>
          <w:b w:val="0"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u w:val="none"/>
        </w:rPr>
        <w:t xml:space="preserve"> as legally binding regulatory requirements </w:t>
      </w:r>
      <w:r>
        <w:rPr>
          <w:b w:val="0"/>
          <w:i w:val="0"/>
          <w:smallCaps w:val="0"/>
          <w:strike w:val="0"/>
          <w:sz w:val="22"/>
          <w:u w:val="single"/>
        </w:rPr>
        <w:t>through a rulemaking process that leaves access</w:t>
      </w:r>
      <w:r>
        <w:rPr>
          <w:b w:val="0"/>
          <w:i w:val="0"/>
          <w:smallCaps w:val="0"/>
          <w:strike w:val="0"/>
          <w:u w:val="none"/>
        </w:rPr>
        <w:t xml:space="preserve"> to proposed standard and any supporting materials </w:t>
      </w:r>
      <w:r>
        <w:rPr>
          <w:b w:val="0"/>
          <w:i w:val="0"/>
          <w:smallCaps w:val="0"/>
          <w:strike w:val="0"/>
          <w:sz w:val="22"/>
          <w:u w:val="single"/>
        </w:rPr>
        <w:t>in the hands of the private organizations creating it.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u w:val="none"/>
        </w:rPr>
        <w:t xml:space="preserve"> effectively </w:t>
      </w:r>
      <w:r>
        <w:rPr>
          <w:b/>
          <w:i w:val="0"/>
          <w:smallCaps w:val="0"/>
          <w:strike w:val="0"/>
          <w:sz w:val="22"/>
          <w:u w:val="single"/>
        </w:rPr>
        <w:t>constrains access to the incorporated standards</w:t>
      </w:r>
      <w:r>
        <w:rPr>
          <w:b w:val="0"/>
          <w:i w:val="0"/>
          <w:smallCaps w:val="0"/>
          <w:strike w:val="0"/>
          <w:u w:val="none"/>
        </w:rPr>
        <w:t xml:space="preserve"> to two printed copies kept in Washington, D.C., or to such copies as the responsible private organization might provide – at the price and on such terms as it may set.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The OFR’s new rules</w:t>
      </w:r>
      <w:r>
        <w:rPr>
          <w:b w:val="0"/>
          <w:i w:val="0"/>
          <w:smallCaps w:val="0"/>
          <w:strike w:val="0"/>
          <w:u w:val="none"/>
        </w:rPr>
        <w:t xml:space="preserve">, largely building on the ACUS recommendations, </w:t>
      </w:r>
      <w:r>
        <w:rPr>
          <w:b/>
          <w:i w:val="0"/>
          <w:smallCaps w:val="0"/>
          <w:strike w:val="0"/>
          <w:sz w:val="22"/>
          <w:u w:val="single"/>
        </w:rPr>
        <w:t>improve on their predecessors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number of respects</w:t>
      </w:r>
      <w:r>
        <w:rPr>
          <w:b w:val="0"/>
          <w:i w:val="0"/>
          <w:smallCaps w:val="0"/>
          <w:strike w:val="0"/>
          <w:u w:val="none"/>
        </w:rPr>
        <w:t xml:space="preserve">. At the rulemaking proposal stage, </w:t>
      </w:r>
      <w:r>
        <w:rPr>
          <w:b w:val="0"/>
          <w:i w:val="0"/>
          <w:smallCaps w:val="0"/>
          <w:strike w:val="0"/>
          <w:sz w:val="22"/>
          <w:u w:val="single"/>
        </w:rPr>
        <w:t>the new rules require an agency to discuss in the</w:t>
      </w:r>
      <w:r>
        <w:rPr>
          <w:b w:val="0"/>
          <w:i w:val="0"/>
          <w:smallCaps w:val="0"/>
          <w:strike w:val="0"/>
          <w:u w:val="none"/>
        </w:rPr>
        <w:t xml:space="preserve"> proposal’s </w:t>
      </w:r>
      <w:r>
        <w:rPr>
          <w:b w:val="0"/>
          <w:i w:val="0"/>
          <w:smallCaps w:val="0"/>
          <w:strike w:val="0"/>
          <w:sz w:val="22"/>
          <w:u w:val="single"/>
        </w:rPr>
        <w:t>preamble</w:t>
      </w:r>
      <w:r>
        <w:rPr>
          <w:b w:val="0"/>
          <w:i w:val="0"/>
          <w:smallCaps w:val="0"/>
          <w:strike w:val="0"/>
          <w:u w:val="none"/>
        </w:rPr>
        <w:t xml:space="preserve"> the (undefined!) </w:t>
      </w:r>
      <w:r>
        <w:rPr>
          <w:b w:val="0"/>
          <w:i w:val="0"/>
          <w:smallCaps w:val="0"/>
          <w:strike w:val="0"/>
          <w:sz w:val="22"/>
          <w:u w:val="single"/>
        </w:rPr>
        <w:t>reasonable availability of either “the materials it proposes to incorporate by reference” or its efforts to secure reasonable availability; and</w:t>
      </w:r>
      <w:r>
        <w:rPr>
          <w:b w:val="0"/>
          <w:i w:val="0"/>
          <w:smallCaps w:val="0"/>
          <w:strike w:val="0"/>
          <w:u w:val="none"/>
        </w:rPr>
        <w:t xml:space="preserve">, also, </w:t>
      </w:r>
      <w:r>
        <w:rPr>
          <w:b w:val="0"/>
          <w:i w:val="0"/>
          <w:smallCaps w:val="0"/>
          <w:strike w:val="0"/>
          <w:sz w:val="22"/>
          <w:u w:val="single"/>
        </w:rPr>
        <w:t>to provide a summary of that material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