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OFR’s new rule solves.</w:t>
      </w:r>
    </w:p>
    <w:p>
      <w:pPr>
        <w:spacing w:after="80"/>
      </w:pPr>
      <w:r>
        <w:rPr>
          <w:b/>
          <w:i w:val="0"/>
          <w:smallCaps w:val="0"/>
          <w:strike w:val="0"/>
          <w:sz w:val="26"/>
          <w:u w:val="none"/>
        </w:rPr>
        <w:t>RR 15</w:t>
      </w:r>
      <w:r>
        <w:rPr>
          <w:b w:val="0"/>
          <w:i w:val="0"/>
          <w:smallCaps w:val="0"/>
          <w:strike w:val="0"/>
          <w:u w:val="none"/>
        </w:rPr>
        <w:t xml:space="preserve"> – a regulatory news publication.</w:t>
      </w:r>
    </w:p>
    <w:p>
      <w:pPr>
        <w:spacing w:after="60"/>
      </w:pPr>
      <w:r>
        <w:rPr>
          <w:b w:val="0"/>
          <w:i w:val="0"/>
          <w:smallCaps w:val="0"/>
          <w:strike w:val="0"/>
          <w:u w:val="none"/>
        </w:rPr>
        <w:t>The Regulatory Review, “Incorporating Private Standards into Public Regulations,” The Regulatory Review, 01-26-2015, https://www.theregreview.org/2015/01/26/series-incorporation-by-reference/</w:t>
      </w:r>
    </w:p>
    <w:p>
      <w:pPr>
        <w:spacing w:after="60"/>
      </w:pPr>
      <w:r>
        <w:rPr>
          <w:b w:val="0"/>
          <w:i w:val="0"/>
          <w:smallCaps w:val="0"/>
          <w:strike w:val="0"/>
          <w:u w:val="none"/>
        </w:rPr>
        <w:t xml:space="preserve">Effective this month, </w:t>
      </w:r>
      <w:r>
        <w:rPr>
          <w:b w:val="0"/>
          <w:i w:val="0"/>
          <w:smallCaps w:val="0"/>
          <w:strike w:val="0"/>
          <w:sz w:val="22"/>
          <w:u w:val="single"/>
        </w:rPr>
        <w:t xml:space="preserve">the OFR’s new rule amends the current incorporation by reference process and attempts to </w:t>
      </w:r>
      <w:r>
        <w:rPr>
          <w:b/>
          <w:i w:val="0"/>
          <w:smallCaps w:val="0"/>
          <w:strike w:val="0"/>
          <w:sz w:val="22"/>
          <w:u w:val="single"/>
        </w:rPr>
        <w:t>increase public availability</w:t>
      </w:r>
      <w:r>
        <w:rPr>
          <w:b w:val="0"/>
          <w:i w:val="0"/>
          <w:smallCaps w:val="0"/>
          <w:strike w:val="0"/>
          <w:sz w:val="22"/>
          <w:u w:val="single"/>
        </w:rPr>
        <w:t xml:space="preserve"> or </w:t>
      </w:r>
      <w:r>
        <w:rPr>
          <w:b/>
          <w:i w:val="0"/>
          <w:smallCaps w:val="0"/>
          <w:strike w:val="0"/>
          <w:sz w:val="22"/>
          <w:u w:val="single"/>
        </w:rPr>
        <w:t>awareness of incorporated material</w:t>
      </w:r>
      <w:r>
        <w:rPr>
          <w:b w:val="0"/>
          <w:i w:val="0"/>
          <w:smallCaps w:val="0"/>
          <w:strike w:val="0"/>
          <w:u w:val="none"/>
        </w:rPr>
        <w:t xml:space="preserve">. </w:t>
      </w:r>
      <w:r>
        <w:rPr>
          <w:b w:val="0"/>
          <w:i w:val="0"/>
          <w:smallCaps w:val="0"/>
          <w:strike w:val="0"/>
          <w:sz w:val="22"/>
          <w:u w:val="single"/>
        </w:rPr>
        <w:t xml:space="preserve">The OFR’s rule requires that agencies attempting to incorporate materials by reference </w:t>
      </w:r>
      <w:r>
        <w:rPr>
          <w:b/>
          <w:i w:val="0"/>
          <w:smallCaps w:val="0"/>
          <w:strike w:val="0"/>
          <w:sz w:val="22"/>
          <w:u w:val="single"/>
        </w:rPr>
        <w:t>add more information about the incorporated standards</w:t>
      </w:r>
      <w:r>
        <w:rPr>
          <w:b w:val="0"/>
          <w:i w:val="0"/>
          <w:smallCaps w:val="0"/>
          <w:strike w:val="0"/>
          <w:sz w:val="22"/>
          <w:u w:val="single"/>
        </w:rPr>
        <w:t xml:space="preserve"> into the Federal Register</w:t>
      </w:r>
      <w:r>
        <w:rPr>
          <w:b w:val="0"/>
          <w:i w:val="0"/>
          <w:smallCaps w:val="0"/>
          <w:strike w:val="0"/>
          <w:u w:val="none"/>
        </w:rPr>
        <w:t xml:space="preserve"> notices accompanying their proposed and final rules. Under the new OFR rule, </w:t>
      </w:r>
      <w:r>
        <w:rPr>
          <w:b w:val="0"/>
          <w:i w:val="0"/>
          <w:smallCaps w:val="0"/>
          <w:strike w:val="0"/>
          <w:sz w:val="22"/>
          <w:u w:val="single"/>
        </w:rPr>
        <w:t xml:space="preserve">agencies must provide </w:t>
      </w:r>
      <w:r>
        <w:rPr>
          <w:b/>
          <w:i w:val="0"/>
          <w:smallCaps w:val="0"/>
          <w:strike w:val="0"/>
          <w:sz w:val="22"/>
          <w:u w:val="single"/>
        </w:rPr>
        <w:t>full summaries</w:t>
      </w:r>
      <w:r>
        <w:rPr>
          <w:b w:val="0"/>
          <w:i w:val="0"/>
          <w:smallCaps w:val="0"/>
          <w:strike w:val="0"/>
          <w:u w:val="none"/>
        </w:rPr>
        <w:t xml:space="preserve"> </w:t>
      </w:r>
      <w:r>
        <w:rPr>
          <w:b w:val="0"/>
          <w:i w:val="0"/>
          <w:smallCaps w:val="0"/>
          <w:strike w:val="0"/>
          <w:sz w:val="22"/>
          <w:u w:val="single"/>
        </w:rPr>
        <w:t>of the incorporated materials</w:t>
      </w:r>
      <w:r>
        <w:rPr>
          <w:b w:val="0"/>
          <w:i w:val="0"/>
          <w:smallCaps w:val="0"/>
          <w:strike w:val="0"/>
          <w:u w:val="none"/>
        </w:rPr>
        <w:t xml:space="preserve"> and discuss the steps they took to ensure that the materials are “reasonably available” to interested parties. Further, OFR’s new rule encourages agencies to work with copyright holders to increase public access.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