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Public access turns the case.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Halperin 24</w:t>
      </w:r>
      <w:r>
        <w:rPr>
          <w:b w:val="0"/>
          <w:i w:val="0"/>
          <w:smallCaps w:val="0"/>
          <w:strike w:val="0"/>
          <w:u w:val="none"/>
        </w:rPr>
        <w:t xml:space="preserve"> – member of the Board of Directors of Public Citizen, J.D. from Yale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David Halperin, “Congress Should Reject Bill To Let Private Groups Control Access To U.S. Laws,” Republic Report, https://www.republicreport.org/2024/congress-should-reject-bill-to-let-private-groups-control-access-to-u-s-laws/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There is a better way forward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House Judiciary Committee made the right decision last summer to table the PRO Codes Act.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Allowing the public to read and communicate our laws, without interference from an SDO monopoly, </w:t>
      </w:r>
      <w:r>
        <w:rPr>
          <w:b/>
          <w:i w:val="0"/>
          <w:smallCaps w:val="0"/>
          <w:strike w:val="0"/>
          <w:sz w:val="22"/>
          <w:u w:val="single"/>
        </w:rPr>
        <w:t>encourages compliance with the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improvement of the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economic growth and innovation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