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SDOs will impose large restrictions.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Hickey 23</w:t>
      </w:r>
      <w:r>
        <w:rPr>
          <w:b w:val="0"/>
          <w:i w:val="0"/>
          <w:smallCaps w:val="0"/>
          <w:strike w:val="0"/>
          <w:u w:val="none"/>
        </w:rPr>
        <w:t xml:space="preserve"> – Legislative Attorney at the Congressional Research Service, former Fellow at the University of California, Berkeley, J.D. from New York University School of Law.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Kevin J. Hickey, “Copyright in Standards Incorporated by Reference into Law and the Pro Codes Act,” Congressional Research Service, 09-26-2023, https://sgp.fas.org/crs/misc/R47656.pdf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Opponents of the Pro Codes Act, including public-access groups like PRO and internet-freedom groups like the Electronic Frontier Foundation, argue that </w:t>
      </w:r>
      <w:r>
        <w:rPr>
          <w:b w:val="0"/>
          <w:i w:val="0"/>
          <w:smallCaps w:val="0"/>
          <w:strike w:val="0"/>
          <w:sz w:val="22"/>
          <w:u w:val="single"/>
        </w:rPr>
        <w:t>no one should control who can read and distribute the law, including IBR standards</w:t>
      </w:r>
      <w:r>
        <w:rPr>
          <w:b w:val="0"/>
          <w:i w:val="0"/>
          <w:smallCaps w:val="0"/>
          <w:strike w:val="0"/>
          <w:u w:val="none"/>
        </w:rPr>
        <w:t xml:space="preserve">.138 </w:t>
      </w:r>
      <w:r>
        <w:rPr>
          <w:b w:val="0"/>
          <w:i w:val="0"/>
          <w:smallCaps w:val="0"/>
          <w:strike w:val="0"/>
          <w:sz w:val="22"/>
          <w:u w:val="single"/>
        </w:rPr>
        <w:t>They maintain that SDOs “</w:t>
      </w:r>
      <w:r>
        <w:rPr>
          <w:b/>
          <w:i w:val="0"/>
          <w:smallCaps w:val="0"/>
          <w:strike w:val="0"/>
          <w:sz w:val="22"/>
          <w:u w:val="single"/>
        </w:rPr>
        <w:t>have charged high fees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imposed other restrictions</w:t>
      </w:r>
      <w:r>
        <w:rPr>
          <w:b w:val="0"/>
          <w:i w:val="0"/>
          <w:smallCaps w:val="0"/>
          <w:strike w:val="0"/>
          <w:u w:val="none"/>
        </w:rPr>
        <w:t xml:space="preserve">” </w:t>
      </w:r>
      <w:r>
        <w:rPr>
          <w:b w:val="0"/>
          <w:i w:val="0"/>
          <w:smallCaps w:val="0"/>
          <w:strike w:val="0"/>
          <w:sz w:val="22"/>
          <w:u w:val="single"/>
        </w:rPr>
        <w:t>to access their standards in the past</w:t>
      </w:r>
      <w:r>
        <w:rPr>
          <w:b w:val="0"/>
          <w:i w:val="0"/>
          <w:smallCaps w:val="0"/>
          <w:strike w:val="0"/>
          <w:u w:val="none"/>
        </w:rPr>
        <w:t>. 139 They also object to the Pro Codes Act’s “</w:t>
      </w:r>
      <w:r>
        <w:rPr>
          <w:b w:val="0"/>
          <w:i w:val="0"/>
          <w:smallCaps w:val="0"/>
          <w:strike w:val="0"/>
          <w:sz w:val="22"/>
          <w:u w:val="single"/>
        </w:rPr>
        <w:t>limited” public-access requirement,</w:t>
      </w:r>
      <w:r>
        <w:rPr>
          <w:b w:val="0"/>
          <w:i w:val="0"/>
          <w:smallCaps w:val="0"/>
          <w:strike w:val="0"/>
          <w:u w:val="none"/>
        </w:rPr>
        <w:t xml:space="preserve"> which </w:t>
      </w:r>
      <w:r>
        <w:rPr>
          <w:b w:val="0"/>
          <w:i w:val="0"/>
          <w:smallCaps w:val="0"/>
          <w:strike w:val="0"/>
          <w:sz w:val="22"/>
          <w:u w:val="single"/>
        </w:rPr>
        <w:t>could require users to submit personal information to view IBR standards, and deny them the ability to print and download standards</w:t>
      </w:r>
      <w:r>
        <w:rPr>
          <w:b w:val="0"/>
          <w:i w:val="0"/>
          <w:smallCaps w:val="0"/>
          <w:strike w:val="0"/>
          <w:u w:val="none"/>
        </w:rPr>
        <w:t xml:space="preserve">.140 Under the Pro Codes Act, </w:t>
      </w:r>
      <w:r>
        <w:rPr>
          <w:b w:val="0"/>
          <w:i w:val="0"/>
          <w:smallCaps w:val="0"/>
          <w:strike w:val="0"/>
          <w:sz w:val="22"/>
          <w:u w:val="single"/>
        </w:rPr>
        <w:t>SDOs may choose to make only an “</w:t>
      </w:r>
      <w:r>
        <w:rPr>
          <w:b/>
          <w:i w:val="0"/>
          <w:smallCaps w:val="0"/>
          <w:strike w:val="0"/>
          <w:sz w:val="22"/>
          <w:u w:val="single"/>
        </w:rPr>
        <w:t>economy-class version</w:t>
      </w:r>
      <w:r>
        <w:rPr>
          <w:b w:val="0"/>
          <w:i w:val="0"/>
          <w:smallCaps w:val="0"/>
          <w:strike w:val="0"/>
          <w:sz w:val="22"/>
          <w:u w:val="single"/>
        </w:rPr>
        <w:t>” of the IBR standards available for free</w:t>
      </w:r>
      <w:r>
        <w:rPr>
          <w:b w:val="0"/>
          <w:i w:val="0"/>
          <w:smallCaps w:val="0"/>
          <w:strike w:val="0"/>
          <w:u w:val="none"/>
        </w:rPr>
        <w:t xml:space="preserve">, 141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alongside paid versions with </w:t>
      </w:r>
      <w:r>
        <w:rPr>
          <w:b/>
          <w:i w:val="0"/>
          <w:smallCaps w:val="0"/>
          <w:strike w:val="0"/>
          <w:sz w:val="22"/>
          <w:u w:val="single"/>
        </w:rPr>
        <w:t>more functionality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