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Prices could be as high as $10,000.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Ambrogi 16</w:t>
      </w:r>
      <w:r>
        <w:rPr>
          <w:b w:val="0"/>
          <w:i w:val="0"/>
          <w:smallCaps w:val="0"/>
          <w:strike w:val="0"/>
          <w:u w:val="none"/>
        </w:rPr>
        <w:t xml:space="preserve"> – Technology Law Expert at Above the Law, J.D. from Boston College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Robert Ambrogi, “This Week In Legal Tech: Showdown At The ABA Over Free Law And Free Sex,” Above the Law, 07-25-2016, https://abovethelaw.com/2016/07/this-week-in-legal-tech-showdown-at-the-aba-over-free-law-and-free-sex/?rf=1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Ignorance of the law excuses no one. So says the long-established legal principle.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it fair, then, that citizens should have to pay for the law they are obliged to know, as </w:t>
      </w:r>
      <w:r>
        <w:rPr>
          <w:b/>
          <w:i w:val="0"/>
          <w:smallCaps w:val="0"/>
          <w:strike w:val="0"/>
          <w:sz w:val="22"/>
          <w:u w:val="single"/>
        </w:rPr>
        <w:t>much as $10,000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some cases?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 showdown over that issue is expected during the American Bar Association annual meeting in San Francisco in two weeks, when the ABA’s House of Delegates takes up debate over a resolution concerning public access to technical and scientific standards written by private standards developing organizations (SDOs).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Some 9,500 private standards are incorporated by reference in the Code of Federal Regulations. While the CFR is freely available online, these so-called IBR (for “incorporated by reference”) rules are not. Rather,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SDOs copyright their standards and sell access to them, generally at a profit to themselves. The price for access to a single standard can range from $40 to $1,000. The complete set of standards implementing the Pipeline and Hazardous Materials Safety Act costs </w:t>
      </w:r>
      <w:r>
        <w:rPr>
          <w:b/>
          <w:i w:val="0"/>
          <w:smallCaps w:val="0"/>
          <w:strike w:val="0"/>
          <w:sz w:val="22"/>
          <w:u w:val="single"/>
        </w:rPr>
        <w:t>nearly $10,000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For lawyers as well as the public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these standards are </w:t>
      </w:r>
      <w:r>
        <w:rPr>
          <w:b/>
          <w:i w:val="0"/>
          <w:smallCaps w:val="0"/>
          <w:strike w:val="0"/>
          <w:sz w:val="22"/>
          <w:u w:val="single"/>
        </w:rPr>
        <w:t>tremendously important</w:t>
      </w:r>
      <w:r>
        <w:rPr>
          <w:b w:val="0"/>
          <w:i w:val="0"/>
          <w:smallCaps w:val="0"/>
          <w:strike w:val="0"/>
          <w:u w:val="none"/>
        </w:rPr>
        <w:t>. They help regulate the safety of toys, cribs and strollers, vehicle windshields, food additives and propane tanks, to name just a few of the everyday items. Lawyers need to consult them to advise clients, ensure compliance, prepare lawsuits, draft contracts and any number of other reasons.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