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SDOs will be able to impose conditions.</w:t>
      </w:r>
    </w:p>
    <w:p>
      <w:pPr>
        <w:spacing w:after="80"/>
      </w:pPr>
      <w:r>
        <w:rPr>
          <w:b/>
          <w:i w:val="0"/>
          <w:smallCaps w:val="0"/>
          <w:strike w:val="0"/>
          <w:sz w:val="26"/>
          <w:u w:val="none"/>
        </w:rPr>
        <w:t>Hickey 23</w:t>
      </w:r>
      <w:r>
        <w:rPr>
          <w:b w:val="0"/>
          <w:i w:val="0"/>
          <w:smallCaps w:val="0"/>
          <w:strike w:val="0"/>
          <w:u w:val="none"/>
        </w:rPr>
        <w:t xml:space="preserve"> – Legislative Attorney at the Congressional Research Service, former Fellow at the University of California, Berkeley, J.D. from New York University School of Law. </w:t>
      </w:r>
    </w:p>
    <w:p>
      <w:pPr>
        <w:spacing w:after="60"/>
      </w:pPr>
      <w:r>
        <w:rPr>
          <w:b w:val="0"/>
          <w:i w:val="0"/>
          <w:smallCaps w:val="0"/>
          <w:strike w:val="0"/>
          <w:u w:val="none"/>
        </w:rPr>
        <w:t>Kevin J. Hickey, “Copyright in Standards Incorporated by Reference into Law and the Pro Codes Act,” Congressional Research Service, 09-26-2023, https://sgp.fas.org/crs/misc/R47656.pdf</w:t>
      </w:r>
    </w:p>
    <w:p>
      <w:pPr>
        <w:spacing w:after="60"/>
      </w:pPr>
      <w:r>
        <w:rPr>
          <w:b w:val="0"/>
          <w:i w:val="0"/>
          <w:smallCaps w:val="0"/>
          <w:strike w:val="0"/>
          <w:u w:val="none"/>
        </w:rPr>
        <w:t xml:space="preserve">On the access side, Congress may consider what kind of public access to IBR standards is appropriate. As discussed above, different courts have reached different conclusions on the copyrightability of IBR standards or the permitted uses of such standards under the fair use doctrine. As a practical matter, many SDOs have made their work freely available to the public in some form, while some public-access groups have sought to facilitate greater public accessibility (e.g., permitting free downloads of IBR standards). </w:t>
      </w:r>
      <w:r>
        <w:rPr>
          <w:b w:val="0"/>
          <w:i w:val="0"/>
          <w:smallCaps w:val="0"/>
          <w:strike w:val="0"/>
          <w:sz w:val="22"/>
          <w:u w:val="single"/>
        </w:rPr>
        <w:t xml:space="preserve">The Pro Codes Act would require SDOs to provide a level of online access at no cost to users, but it would appear to allow SDOs to </w:t>
      </w:r>
      <w:r>
        <w:rPr>
          <w:b/>
          <w:i w:val="0"/>
          <w:smallCaps w:val="0"/>
          <w:strike w:val="0"/>
          <w:sz w:val="22"/>
          <w:u w:val="single"/>
        </w:rPr>
        <w:t>impose some conditions</w:t>
      </w:r>
      <w:r>
        <w:rPr>
          <w:b w:val="0"/>
          <w:i w:val="0"/>
          <w:smallCaps w:val="0"/>
          <w:strike w:val="0"/>
          <w:sz w:val="22"/>
          <w:u w:val="single"/>
        </w:rPr>
        <w:t xml:space="preserve"> on viewing and to restrict downloading and printing</w:t>
      </w:r>
      <w:r>
        <w:rPr>
          <w:b w:val="0"/>
          <w:i w:val="0"/>
          <w:smallCaps w:val="0"/>
          <w:strike w:val="0"/>
          <w:u w:val="none"/>
        </w:rPr>
        <w:t>. Congress may consider whether the status quo, the Pro Codes Act, or some other alternative provides sufficient public access to IBR standards.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