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Fair use is the key to OpenAI’s defense strategy.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Eischen 24</w:t>
      </w:r>
      <w:r>
        <w:rPr>
          <w:b w:val="0"/>
          <w:i w:val="0"/>
          <w:smallCaps w:val="0"/>
          <w:strike w:val="0"/>
          <w:u w:val="none"/>
        </w:rPr>
        <w:t xml:space="preserve"> – J.D. student at Vanderbilt Law School.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Jay Eischen, “(Un)fair Use?: Understanding the New York Times’s Lawsuit Against Microsoft and OpenAI,” JetLaw, 01-08-2024, https://www.vanderbilt.edu/jetlaw/2024/01/08/unfair-use-understanding-the-new-york-timess-lawsuit-against-microsoft-and-openai/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most apt defense available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OpenAI is the </w:t>
      </w:r>
      <w:r>
        <w:rPr>
          <w:b/>
          <w:i w:val="0"/>
          <w:smallCaps w:val="0"/>
          <w:strike w:val="0"/>
          <w:sz w:val="22"/>
          <w:u w:val="single"/>
        </w:rPr>
        <w:t>concept of “fair use,”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which allows the use of copyrighted materials “for purposes such as criticism, comment, news reporting, teaching…, scholarship, or research</w:t>
      </w:r>
      <w:r>
        <w:rPr>
          <w:b w:val="0"/>
          <w:i w:val="0"/>
          <w:smallCaps w:val="0"/>
          <w:strike w:val="0"/>
          <w:u w:val="none"/>
        </w:rPr>
        <w:t>”.[5] For example, Go</w:t>
      </w:r>
      <w:r>
        <w:rPr>
          <w:b w:val="0"/>
          <w:i w:val="0"/>
          <w:smallCaps w:val="0"/>
          <w:strike w:val="0"/>
          <w:sz w:val="22"/>
          <w:u w:val="single"/>
        </w:rPr>
        <w:t>ogle successfully invoked fair use to defend against claims of copyright infringemen</w:t>
      </w:r>
      <w:r>
        <w:rPr>
          <w:b w:val="0"/>
          <w:i w:val="0"/>
          <w:smallCaps w:val="0"/>
          <w:strike w:val="0"/>
          <w:u w:val="none"/>
        </w:rPr>
        <w:t xml:space="preserve">t when it scanned and uploaded millions of books as part of its Google Books project—a </w:t>
      </w:r>
      <w:r>
        <w:rPr>
          <w:b/>
          <w:i w:val="0"/>
          <w:smallCaps w:val="0"/>
          <w:strike w:val="0"/>
          <w:sz w:val="22"/>
          <w:u w:val="single"/>
        </w:rPr>
        <w:t>favorable precedent that OpenAI would likely cite extensively</w:t>
      </w:r>
      <w:r>
        <w:rPr>
          <w:b w:val="0"/>
          <w:i w:val="0"/>
          <w:smallCaps w:val="0"/>
          <w:strike w:val="0"/>
          <w:u w:val="none"/>
        </w:rPr>
        <w:t>.[6] Fair use determinations are guided by four factors: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“(1) the purpose and character of the use, including whether such use is of a commercial nature or is for nonprofit educational purposes;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(2) the nature of the copyrighted work;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(3) the amount and substantiality of the portion used in relation to the copyrighted work as a whole; and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(4) the effect of the use upon the potential market for or value of the copyrighted work.”[7]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