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It’s their best show.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Mendis 24</w:t>
      </w:r>
      <w:r>
        <w:rPr>
          <w:b w:val="0"/>
          <w:i w:val="0"/>
          <w:smallCaps w:val="0"/>
          <w:strike w:val="0"/>
          <w:u w:val="none"/>
        </w:rPr>
        <w:t xml:space="preserve"> – Professor of Intellectual Property and Innovation Law and Director of the Centre for Intellectual Property Policy and Management at Bournemouth University.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Dinusha Mendis, “How a New York Times copyright lawsuit against OpenAI could potentially transform how AI and copyright work,” The Conversation, 01-17-2024, https://theconversation.com/how-a-new-york-times-copyright-lawsuit-against-openai-could-potentially-transform-how-ai-and-copyright-work-221059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defence available to OpenAI is “fair use”</w:t>
      </w:r>
      <w:r>
        <w:rPr>
          <w:b w:val="0"/>
          <w:i w:val="0"/>
          <w:smallCaps w:val="0"/>
          <w:strike w:val="0"/>
          <w:u w:val="none"/>
        </w:rPr>
        <w:t xml:space="preserve"> under the US Copyright Act 1976, section 107. </w:t>
      </w:r>
      <w:r>
        <w:rPr>
          <w:b w:val="0"/>
          <w:i w:val="0"/>
          <w:smallCaps w:val="0"/>
          <w:strike w:val="0"/>
          <w:sz w:val="22"/>
          <w:u w:val="single"/>
        </w:rPr>
        <w:t>This is because the unlicensed use of copyright material to train generative AI models can serve as a “</w:t>
      </w:r>
      <w:r>
        <w:rPr>
          <w:b/>
          <w:i w:val="0"/>
          <w:smallCaps w:val="0"/>
          <w:strike w:val="0"/>
          <w:sz w:val="22"/>
          <w:u w:val="single"/>
        </w:rPr>
        <w:t>transformative use”</w:t>
      </w:r>
      <w:r>
        <w:rPr>
          <w:b w:val="0"/>
          <w:i w:val="0"/>
          <w:smallCaps w:val="0"/>
          <w:strike w:val="0"/>
          <w:u w:val="none"/>
        </w:rPr>
        <w:t xml:space="preserve"> which changes the original material. However, the complaint from the New York Times also says that their chatbots bypassed the newspaper’s paywalls to create summaries of articles.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Even though summaries do not infringe copyright,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their use could be used by the New York Times to try to demonstrate a negative commercial impact on the newspaper – </w:t>
      </w:r>
      <w:r>
        <w:rPr>
          <w:b/>
          <w:i w:val="0"/>
          <w:smallCaps w:val="0"/>
          <w:strike w:val="0"/>
          <w:sz w:val="22"/>
          <w:u w:val="single"/>
        </w:rPr>
        <w:t>challenging the fair use defence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