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And spill over globally.</w:t>
      </w:r>
    </w:p>
    <w:p>
      <w:pPr>
        <w:spacing w:after="80"/>
      </w:pPr>
      <w:r>
        <w:rPr>
          <w:b/>
          <w:i w:val="0"/>
          <w:smallCaps w:val="0"/>
          <w:strike w:val="0"/>
          <w:sz w:val="26"/>
          <w:u w:val="none"/>
        </w:rPr>
        <w:t>Tobitt 24</w:t>
      </w:r>
      <w:r>
        <w:rPr>
          <w:b w:val="0"/>
          <w:i w:val="0"/>
          <w:smallCaps w:val="0"/>
          <w:strike w:val="0"/>
          <w:u w:val="none"/>
        </w:rPr>
        <w:t xml:space="preserve"> – UK Editor at the Press Gazette.</w:t>
      </w:r>
    </w:p>
    <w:p>
      <w:pPr>
        <w:spacing w:after="60"/>
      </w:pPr>
      <w:r>
        <w:rPr>
          <w:b w:val="0"/>
          <w:i w:val="0"/>
          <w:smallCaps w:val="0"/>
          <w:strike w:val="0"/>
          <w:u w:val="none"/>
        </w:rPr>
        <w:t>Charlotte Tobitt, “Legal experts say OpenAI has ‘case to answer’ in showdown with New York Times,” Press Gazette, 01-11-2024, https://pressgazette.co.uk/media_law/new-york-times-openai-microsoft-ip-experts/</w:t>
      </w:r>
    </w:p>
    <w:p>
      <w:pPr>
        <w:spacing w:after="60"/>
      </w:pPr>
      <w:r>
        <w:rPr>
          <w:b w:val="0"/>
          <w:i w:val="0"/>
          <w:smallCaps w:val="0"/>
          <w:strike w:val="0"/>
          <w:u w:val="none"/>
        </w:rPr>
        <w:t>The New York Times complaint refers to US copyright law, under which the “fair use” defence can cover “transformative” uses that add something new and do not substitute the original work.</w:t>
      </w:r>
    </w:p>
    <w:p>
      <w:pPr>
        <w:spacing w:after="60"/>
      </w:pPr>
      <w:r>
        <w:rPr>
          <w:b w:val="0"/>
          <w:i w:val="0"/>
          <w:smallCaps w:val="0"/>
          <w:strike w:val="0"/>
          <w:u w:val="none"/>
        </w:rPr>
        <w:t>Eziefula of Simkins noted: “</w:t>
      </w:r>
      <w:r>
        <w:rPr>
          <w:b w:val="0"/>
          <w:i w:val="0"/>
          <w:smallCaps w:val="0"/>
          <w:strike w:val="0"/>
          <w:sz w:val="22"/>
          <w:u w:val="single"/>
        </w:rPr>
        <w:t xml:space="preserve">Although this US case would not set a direct legal precedent to be applied in other jurisdictions, </w:t>
      </w:r>
      <w:r>
        <w:rPr>
          <w:b/>
          <w:i w:val="0"/>
          <w:smallCaps w:val="0"/>
          <w:strike w:val="0"/>
          <w:sz w:val="22"/>
          <w:u w:val="single"/>
        </w:rPr>
        <w:t>given the US-centric nature of the AI industry</w:t>
      </w:r>
      <w:r>
        <w:rPr>
          <w:b w:val="0"/>
          <w:i w:val="0"/>
          <w:smallCaps w:val="0"/>
          <w:strike w:val="0"/>
          <w:u w:val="none"/>
        </w:rPr>
        <w:t xml:space="preserve">, </w:t>
      </w:r>
      <w:r>
        <w:rPr>
          <w:b w:val="0"/>
          <w:i w:val="0"/>
          <w:smallCaps w:val="0"/>
          <w:strike w:val="0"/>
          <w:sz w:val="22"/>
          <w:u w:val="single"/>
        </w:rPr>
        <w:t xml:space="preserve">and the </w:t>
      </w:r>
      <w:r>
        <w:rPr>
          <w:b/>
          <w:i w:val="0"/>
          <w:smallCaps w:val="0"/>
          <w:strike w:val="0"/>
          <w:sz w:val="22"/>
          <w:u w:val="single"/>
        </w:rPr>
        <w:t>global prominence of the parties to this dispute</w:t>
      </w:r>
      <w:r>
        <w:rPr>
          <w:b w:val="0"/>
          <w:i w:val="0"/>
          <w:smallCaps w:val="0"/>
          <w:strike w:val="0"/>
          <w:u w:val="none"/>
        </w:rPr>
        <w:t xml:space="preserve">, </w:t>
      </w:r>
      <w:r>
        <w:rPr>
          <w:b w:val="0"/>
          <w:i w:val="0"/>
          <w:smallCaps w:val="0"/>
          <w:strike w:val="0"/>
          <w:sz w:val="22"/>
          <w:u w:val="single"/>
        </w:rPr>
        <w:t xml:space="preserve">a US decision on the issues will likely have a </w:t>
      </w:r>
      <w:r>
        <w:rPr>
          <w:b/>
          <w:i w:val="0"/>
          <w:smallCaps w:val="0"/>
          <w:strike w:val="0"/>
          <w:sz w:val="22"/>
          <w:u w:val="single"/>
        </w:rPr>
        <w:t>significant influence</w:t>
      </w:r>
      <w:r>
        <w:rPr>
          <w:b w:val="0"/>
          <w:i w:val="0"/>
          <w:smallCaps w:val="0"/>
          <w:strike w:val="0"/>
          <w:sz w:val="22"/>
          <w:u w:val="single"/>
        </w:rPr>
        <w:t xml:space="preserve"> on the </w:t>
      </w:r>
      <w:r>
        <w:rPr>
          <w:b/>
          <w:i w:val="0"/>
          <w:smallCaps w:val="0"/>
          <w:strike w:val="0"/>
          <w:sz w:val="22"/>
          <w:u w:val="single"/>
        </w:rPr>
        <w:t>approach to the regulation of AI systems internationally</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