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recent </w:t>
      </w:r>
      <w:r>
        <w:rPr>
          <w:b/>
          <w:i/>
          <w:smallCaps w:val="0"/>
          <w:strike w:val="0"/>
          <w:sz w:val="26"/>
          <w:u w:val="single"/>
        </w:rPr>
        <w:t>Chappell</w:t>
      </w:r>
      <w:r>
        <w:rPr>
          <w:b/>
          <w:i w:val="0"/>
          <w:smallCaps w:val="0"/>
          <w:strike w:val="0"/>
          <w:sz w:val="26"/>
          <w:u w:val="none"/>
        </w:rPr>
        <w:t xml:space="preserve"> decision ensures that copyright infringement will go </w:t>
      </w:r>
      <w:r>
        <w:rPr>
          <w:b/>
          <w:i w:val="0"/>
          <w:smallCaps w:val="0"/>
          <w:strike w:val="0"/>
          <w:sz w:val="26"/>
          <w:u w:val="single"/>
        </w:rPr>
        <w:t>down</w:t>
      </w:r>
      <w:r>
        <w:rPr>
          <w:b/>
          <w:i w:val="0"/>
          <w:smallCaps w:val="0"/>
          <w:strike w:val="0"/>
          <w:sz w:val="26"/>
          <w:u w:val="none"/>
        </w:rPr>
        <w:t xml:space="preserve"> in the future.</w:t>
      </w:r>
      <w:r>
        <w:rPr>
          <w:b w:val="0"/>
          <w:i w:val="0"/>
          <w:smallCaps w:val="0"/>
          <w:strike w:val="0"/>
          <w:sz w:val="26"/>
          <w:u w:val="none"/>
        </w:rPr>
        <w:t xml:space="preserve"> EVEN IF they win a claim that they might </w:t>
      </w:r>
      <w:r>
        <w:rPr>
          <w:b w:val="0"/>
          <w:i w:val="0"/>
          <w:smallCaps w:val="0"/>
          <w:strike w:val="0"/>
          <w:sz w:val="26"/>
          <w:u w:val="single"/>
        </w:rPr>
        <w:t>slightly tick up</w:t>
      </w:r>
      <w:r>
        <w:rPr>
          <w:b w:val="0"/>
          <w:i w:val="0"/>
          <w:smallCaps w:val="0"/>
          <w:strike w:val="0"/>
          <w:sz w:val="26"/>
          <w:u w:val="none"/>
        </w:rPr>
        <w:t xml:space="preserve">, our evidence </w:t>
      </w:r>
      <w:r>
        <w:rPr>
          <w:b w:val="0"/>
          <w:i w:val="0"/>
          <w:smallCaps w:val="0"/>
          <w:strike w:val="0"/>
          <w:sz w:val="26"/>
          <w:u w:val="single"/>
        </w:rPr>
        <w:t>assumes that</w:t>
      </w:r>
      <w:r>
        <w:rPr>
          <w:b w:val="0"/>
          <w:i w:val="0"/>
          <w:smallCaps w:val="0"/>
          <w:strike w:val="0"/>
          <w:sz w:val="26"/>
          <w:u w:val="none"/>
        </w:rPr>
        <w:t xml:space="preserve"> and says the Court is likely to </w:t>
      </w:r>
      <w:r>
        <w:rPr>
          <w:b w:val="0"/>
          <w:i w:val="0"/>
          <w:smallCaps w:val="0"/>
          <w:strike w:val="0"/>
          <w:sz w:val="26"/>
          <w:u w:val="single"/>
        </w:rPr>
        <w:t>close that door</w:t>
      </w:r>
      <w:r>
        <w:rPr>
          <w:b w:val="0"/>
          <w:i w:val="0"/>
          <w:smallCaps w:val="0"/>
          <w:strike w:val="0"/>
          <w:sz w:val="26"/>
          <w:u w:val="none"/>
        </w:rPr>
        <w:t xml:space="preserve"> in the future.</w:t>
      </w:r>
    </w:p>
    <w:p>
      <w:pPr>
        <w:spacing w:after="80"/>
      </w:pPr>
      <w:r>
        <w:rPr>
          <w:b w:val="0"/>
          <w:i w:val="0"/>
          <w:smallCaps w:val="0"/>
          <w:strike w:val="0"/>
          <w:u w:val="none"/>
        </w:rPr>
        <w:t xml:space="preserve">Mark </w:t>
      </w:r>
      <w:r>
        <w:rPr>
          <w:b/>
          <w:i w:val="0"/>
          <w:smallCaps w:val="0"/>
          <w:strike w:val="0"/>
          <w:sz w:val="26"/>
          <w:u w:val="single"/>
        </w:rPr>
        <w:t>Lerner 24</w:t>
      </w:r>
      <w:r>
        <w:rPr>
          <w:b w:val="0"/>
          <w:i w:val="0"/>
          <w:smallCaps w:val="0"/>
          <w:strike w:val="0"/>
          <w:u w:val="none"/>
        </w:rPr>
        <w:t>, 1994 cum laude graduate of New York University School of Law, where he was an editor of the competitions division of the Moot Court Board, and a graduate of Haverford College, 5/16/24, “Supreme Court Opens a Door for Copyright Infringement Damages – But Will It Be Closed in the Future”, https://www.duanemorris.com/alerts/supreme_court_opens_door_copyright_infringement_damages_but_will_it_be_closed_in_future_0524.html, kcab</w:t>
      </w:r>
    </w:p>
    <w:p>
      <w:pPr>
        <w:spacing w:after="60"/>
      </w:pPr>
      <w:r>
        <w:rPr>
          <w:b w:val="0"/>
          <w:i w:val="0"/>
          <w:smallCaps w:val="0"/>
          <w:strike w:val="0"/>
          <w:sz w:val="22"/>
          <w:highlight w:val="cyan"/>
          <w:u w:val="single"/>
        </w:rPr>
        <w:t>The Supreme Court</w:t>
      </w:r>
      <w:r>
        <w:rPr>
          <w:b w:val="0"/>
          <w:i w:val="0"/>
          <w:smallCaps w:val="0"/>
          <w:strike w:val="0"/>
          <w:sz w:val="16"/>
          <w:u w:val="none"/>
        </w:rPr>
        <w:t xml:space="preserve"> of the United States </w:t>
      </w:r>
      <w:r>
        <w:rPr>
          <w:b w:val="0"/>
          <w:i w:val="0"/>
          <w:smallCaps w:val="0"/>
          <w:strike w:val="0"/>
          <w:sz w:val="22"/>
          <w:highlight w:val="cyan"/>
          <w:u w:val="single"/>
        </w:rPr>
        <w:t>issued</w:t>
      </w:r>
      <w:r>
        <w:rPr>
          <w:b w:val="0"/>
          <w:i w:val="0"/>
          <w:smallCaps w:val="0"/>
          <w:strike w:val="0"/>
          <w:sz w:val="16"/>
          <w:u w:val="none"/>
        </w:rPr>
        <w:t xml:space="preserve"> </w:t>
      </w:r>
      <w:r>
        <w:rPr>
          <w:b w:val="0"/>
          <w:i w:val="0"/>
          <w:smallCaps w:val="0"/>
          <w:strike w:val="0"/>
          <w:sz w:val="22"/>
          <w:u w:val="single"/>
        </w:rPr>
        <w:t xml:space="preserve">a </w:t>
      </w:r>
      <w:r>
        <w:rPr>
          <w:b w:val="0"/>
          <w:i w:val="0"/>
          <w:smallCaps w:val="0"/>
          <w:strike w:val="0"/>
          <w:sz w:val="16"/>
          <w:u w:val="none"/>
        </w:rPr>
        <w:t xml:space="preserve">much-awaited </w:t>
      </w:r>
      <w:r>
        <w:rPr>
          <w:b w:val="0"/>
          <w:i w:val="0"/>
          <w:smallCaps w:val="0"/>
          <w:strike w:val="0"/>
          <w:sz w:val="22"/>
          <w:highlight w:val="cyan"/>
          <w:u w:val="single"/>
        </w:rPr>
        <w:t>decision</w:t>
      </w:r>
      <w:r>
        <w:rPr>
          <w:b w:val="0"/>
          <w:i w:val="0"/>
          <w:smallCaps w:val="0"/>
          <w:strike w:val="0"/>
          <w:sz w:val="16"/>
          <w:u w:val="none"/>
        </w:rPr>
        <w:t xml:space="preserve"> on May 9, 2024, </w:t>
      </w:r>
      <w:r>
        <w:rPr>
          <w:b w:val="0"/>
          <w:i w:val="0"/>
          <w:smallCaps w:val="0"/>
          <w:strike w:val="0"/>
          <w:sz w:val="22"/>
          <w:highlight w:val="cyan"/>
          <w:u w:val="single"/>
        </w:rPr>
        <w:t>in</w:t>
      </w:r>
      <w:r>
        <w:rPr>
          <w:b w:val="0"/>
          <w:i w:val="0"/>
          <w:smallCaps w:val="0"/>
          <w:strike w:val="0"/>
          <w:sz w:val="22"/>
          <w:u w:val="single"/>
        </w:rPr>
        <w:t xml:space="preserve"> Warner </w:t>
      </w:r>
      <w:r>
        <w:rPr>
          <w:b w:val="0"/>
          <w:i w:val="0"/>
          <w:smallCaps w:val="0"/>
          <w:strike w:val="0"/>
          <w:sz w:val="22"/>
          <w:highlight w:val="cyan"/>
          <w:u w:val="single"/>
        </w:rPr>
        <w:t>Chappell</w:t>
      </w:r>
      <w:r>
        <w:rPr>
          <w:b w:val="0"/>
          <w:i w:val="0"/>
          <w:smallCaps w:val="0"/>
          <w:strike w:val="0"/>
          <w:sz w:val="22"/>
          <w:u w:val="single"/>
        </w:rPr>
        <w:t xml:space="preserve"> Music</w:t>
      </w:r>
      <w:r>
        <w:rPr>
          <w:b w:val="0"/>
          <w:i w:val="0"/>
          <w:smallCaps w:val="0"/>
          <w:strike w:val="0"/>
          <w:sz w:val="16"/>
          <w:u w:val="none"/>
        </w:rPr>
        <w:t xml:space="preserve">, Inc. v. Nealy, </w:t>
      </w:r>
      <w:r>
        <w:rPr>
          <w:b w:val="0"/>
          <w:i w:val="0"/>
          <w:smallCaps w:val="0"/>
          <w:strike w:val="0"/>
          <w:sz w:val="22"/>
          <w:u w:val="single"/>
        </w:rPr>
        <w:t>resolving a circuit split in favor of copyright plaintiffs and rejecting</w:t>
      </w:r>
      <w:r>
        <w:rPr>
          <w:b w:val="0"/>
          <w:i w:val="0"/>
          <w:smallCaps w:val="0"/>
          <w:strike w:val="0"/>
          <w:sz w:val="16"/>
          <w:u w:val="none"/>
        </w:rPr>
        <w:t xml:space="preserve"> </w:t>
      </w:r>
      <w:r>
        <w:rPr>
          <w:b w:val="0"/>
          <w:i w:val="0"/>
          <w:smallCaps w:val="0"/>
          <w:strike w:val="0"/>
          <w:sz w:val="22"/>
          <w:u w:val="single"/>
        </w:rPr>
        <w:t>a</w:t>
      </w:r>
      <w:r>
        <w:rPr>
          <w:b w:val="0"/>
          <w:i w:val="0"/>
          <w:smallCaps w:val="0"/>
          <w:strike w:val="0"/>
          <w:sz w:val="16"/>
          <w:u w:val="none"/>
        </w:rPr>
        <w:t xml:space="preserve"> “</w:t>
      </w:r>
      <w:r>
        <w:rPr>
          <w:b/>
          <w:i w:val="0"/>
          <w:smallCaps w:val="0"/>
          <w:strike w:val="0"/>
          <w:sz w:val="22"/>
          <w:highlight w:val="cyan"/>
          <w:u w:val="single"/>
        </w:rPr>
        <w:t>three-year damages cap</w:t>
      </w:r>
      <w:r>
        <w:rPr>
          <w:b w:val="0"/>
          <w:i w:val="0"/>
          <w:smallCaps w:val="0"/>
          <w:strike w:val="0"/>
          <w:sz w:val="16"/>
          <w:u w:val="none"/>
        </w:rPr>
        <w:t xml:space="preserve">” </w:t>
      </w:r>
      <w:r>
        <w:rPr>
          <w:b w:val="0"/>
          <w:i w:val="0"/>
          <w:smallCaps w:val="0"/>
          <w:strike w:val="0"/>
          <w:sz w:val="22"/>
          <w:highlight w:val="cyan"/>
          <w:u w:val="single"/>
        </w:rPr>
        <w:t>on</w:t>
      </w:r>
      <w:r>
        <w:rPr>
          <w:b w:val="0"/>
          <w:i w:val="0"/>
          <w:smallCaps w:val="0"/>
          <w:strike w:val="0"/>
          <w:sz w:val="16"/>
          <w:u w:val="none"/>
        </w:rPr>
        <w:t xml:space="preserve"> the </w:t>
      </w:r>
      <w:r>
        <w:rPr>
          <w:b w:val="0"/>
          <w:i w:val="0"/>
          <w:smallCaps w:val="0"/>
          <w:strike w:val="0"/>
          <w:sz w:val="22"/>
          <w:u w:val="single"/>
        </w:rPr>
        <w:t xml:space="preserve">recoverable </w:t>
      </w:r>
      <w:r>
        <w:rPr>
          <w:b w:val="0"/>
          <w:i w:val="0"/>
          <w:smallCaps w:val="0"/>
          <w:strike w:val="0"/>
          <w:sz w:val="22"/>
          <w:highlight w:val="cyan"/>
          <w:u w:val="single"/>
        </w:rPr>
        <w:t>damages</w:t>
      </w:r>
      <w:r>
        <w:rPr>
          <w:b w:val="0"/>
          <w:i w:val="0"/>
          <w:smallCaps w:val="0"/>
          <w:strike w:val="0"/>
          <w:sz w:val="16"/>
          <w:u w:val="none"/>
        </w:rPr>
        <w:t xml:space="preserve"> </w:t>
      </w:r>
      <w:r>
        <w:rPr>
          <w:b w:val="0"/>
          <w:i w:val="0"/>
          <w:smallCaps w:val="0"/>
          <w:strike w:val="0"/>
          <w:sz w:val="22"/>
          <w:highlight w:val="cyan"/>
          <w:u w:val="single"/>
        </w:rPr>
        <w:t xml:space="preserve">for </w:t>
      </w:r>
      <w:r>
        <w:rPr>
          <w:b/>
          <w:i w:val="0"/>
          <w:smallCaps w:val="0"/>
          <w:strike w:val="0"/>
          <w:sz w:val="22"/>
          <w:highlight w:val="cyan"/>
          <w:u w:val="single"/>
        </w:rPr>
        <w:t>infringement claims</w:t>
      </w:r>
      <w:r>
        <w:rPr>
          <w:b w:val="0"/>
          <w:i w:val="0"/>
          <w:smallCaps w:val="0"/>
          <w:strike w:val="0"/>
          <w:sz w:val="16"/>
          <w:u w:val="none"/>
        </w:rPr>
        <w:t xml:space="preserve">. In a 6-3 </w:t>
      </w:r>
      <w:r>
        <w:rPr>
          <w:b w:val="0"/>
          <w:i w:val="0"/>
          <w:smallCaps w:val="0"/>
          <w:strike w:val="0"/>
          <w:sz w:val="22"/>
          <w:u w:val="single"/>
        </w:rPr>
        <w:t>decision, the Court held that so long as a plaintiff’s claims are timely</w:t>
      </w:r>
      <w:r>
        <w:rPr>
          <w:b w:val="0"/>
          <w:i w:val="0"/>
          <w:smallCaps w:val="0"/>
          <w:strike w:val="0"/>
          <w:sz w:val="16"/>
          <w:u w:val="none"/>
        </w:rPr>
        <w:t xml:space="preserve">, “[t]he Copyright Act contains no separate time-based limit on monetary recovery,” and accordingly, damages are not restricted by the three-year statute of limitations period described in 17 U.S.C. § 507(b). </w:t>
      </w:r>
      <w:r>
        <w:rPr>
          <w:b w:val="0"/>
          <w:i w:val="0"/>
          <w:smallCaps w:val="0"/>
          <w:strike w:val="0"/>
          <w:sz w:val="22"/>
          <w:u w:val="single"/>
        </w:rPr>
        <w:t>The Court</w:t>
      </w:r>
      <w:r>
        <w:rPr>
          <w:b w:val="0"/>
          <w:i w:val="0"/>
          <w:smallCaps w:val="0"/>
          <w:strike w:val="0"/>
          <w:sz w:val="16"/>
          <w:u w:val="none"/>
        </w:rPr>
        <w:t xml:space="preserve">, however, </w:t>
      </w:r>
      <w:r>
        <w:rPr>
          <w:b w:val="0"/>
          <w:i w:val="0"/>
          <w:smallCaps w:val="0"/>
          <w:strike w:val="0"/>
          <w:sz w:val="22"/>
          <w:u w:val="single"/>
        </w:rPr>
        <w:t>was careful to limit its decision to damages</w:t>
      </w:r>
      <w:r>
        <w:rPr>
          <w:b w:val="0"/>
          <w:i w:val="0"/>
          <w:smallCaps w:val="0"/>
          <w:strike w:val="0"/>
          <w:sz w:val="16"/>
          <w:u w:val="none"/>
        </w:rPr>
        <w:t xml:space="preserve">, and explicitly did not opine on whether a plaintiff’s claims brought after the three-year limitations period under the “so-called discovery rule” would be timely in the first place. Thus, </w:t>
      </w:r>
      <w:r>
        <w:rPr>
          <w:b w:val="0"/>
          <w:i w:val="0"/>
          <w:smallCaps w:val="0"/>
          <w:strike w:val="0"/>
          <w:sz w:val="22"/>
          <w:u w:val="single"/>
        </w:rPr>
        <w:t>while the decision is a clear victory for copyright plaintiffs in cases when the discovery rule applies to claims brought more than three years following an infringement</w:t>
      </w:r>
      <w:r>
        <w:rPr>
          <w:b w:val="0"/>
          <w:i w:val="0"/>
          <w:smallCaps w:val="0"/>
          <w:strike w:val="0"/>
          <w:sz w:val="16"/>
          <w:u w:val="none"/>
        </w:rPr>
        <w:t xml:space="preserve">, </w:t>
      </w:r>
      <w:r>
        <w:rPr>
          <w:b w:val="0"/>
          <w:i w:val="0"/>
          <w:smallCaps w:val="0"/>
          <w:strike w:val="0"/>
          <w:sz w:val="22"/>
          <w:highlight w:val="cyan"/>
          <w:u w:val="single"/>
        </w:rPr>
        <w:t>this</w:t>
      </w:r>
      <w:r>
        <w:rPr>
          <w:b w:val="0"/>
          <w:i w:val="0"/>
          <w:smallCaps w:val="0"/>
          <w:strike w:val="0"/>
          <w:sz w:val="16"/>
          <w:u w:val="none"/>
        </w:rPr>
        <w:t xml:space="preserve"> victory </w:t>
      </w:r>
      <w:r>
        <w:rPr>
          <w:b w:val="0"/>
          <w:i w:val="0"/>
          <w:smallCaps w:val="0"/>
          <w:strike w:val="0"/>
          <w:sz w:val="22"/>
          <w:highlight w:val="cyan"/>
          <w:u w:val="single"/>
        </w:rPr>
        <w:t>may</w:t>
      </w:r>
      <w:r>
        <w:rPr>
          <w:b w:val="0"/>
          <w:i w:val="0"/>
          <w:smallCaps w:val="0"/>
          <w:strike w:val="0"/>
          <w:sz w:val="22"/>
          <w:u w:val="single"/>
        </w:rPr>
        <w:t xml:space="preserve"> </w:t>
      </w:r>
      <w:r>
        <w:rPr>
          <w:b w:val="0"/>
          <w:i w:val="0"/>
          <w:smallCaps w:val="0"/>
          <w:strike w:val="0"/>
          <w:sz w:val="22"/>
          <w:highlight w:val="cyan"/>
          <w:u w:val="single"/>
        </w:rPr>
        <w:t xml:space="preserve">be </w:t>
      </w:r>
      <w:r>
        <w:rPr>
          <w:b/>
          <w:i w:val="0"/>
          <w:smallCaps w:val="0"/>
          <w:strike w:val="0"/>
          <w:sz w:val="22"/>
          <w:highlight w:val="cyan"/>
          <w:u w:val="single"/>
        </w:rPr>
        <w:t>short-lived</w:t>
      </w:r>
      <w:r>
        <w:rPr>
          <w:b w:val="0"/>
          <w:i w:val="0"/>
          <w:smallCaps w:val="0"/>
          <w:strike w:val="0"/>
          <w:sz w:val="22"/>
          <w:highlight w:val="cyan"/>
          <w:u w:val="single"/>
        </w:rPr>
        <w:t xml:space="preserve"> </w:t>
      </w:r>
      <w:r>
        <w:rPr>
          <w:b/>
          <w:i w:val="0"/>
          <w:smallCaps w:val="0"/>
          <w:strike w:val="0"/>
          <w:sz w:val="22"/>
          <w:highlight w:val="cyan"/>
          <w:u w:val="single"/>
        </w:rPr>
        <w:t>pending</w:t>
      </w:r>
      <w:r>
        <w:rPr>
          <w:b/>
          <w:i w:val="0"/>
          <w:smallCaps w:val="0"/>
          <w:strike w:val="0"/>
          <w:sz w:val="22"/>
          <w:u w:val="single"/>
        </w:rPr>
        <w:t xml:space="preserve"> </w:t>
      </w:r>
      <w:r>
        <w:rPr>
          <w:b/>
          <w:i w:val="0"/>
          <w:smallCaps w:val="0"/>
          <w:strike w:val="0"/>
          <w:sz w:val="22"/>
          <w:highlight w:val="cyan"/>
          <w:u w:val="single"/>
        </w:rPr>
        <w:t>future</w:t>
      </w:r>
      <w:r>
        <w:rPr>
          <w:b/>
          <w:i w:val="0"/>
          <w:smallCaps w:val="0"/>
          <w:strike w:val="0"/>
          <w:sz w:val="22"/>
          <w:u w:val="single"/>
        </w:rPr>
        <w:t xml:space="preserve"> </w:t>
      </w:r>
      <w:r>
        <w:rPr>
          <w:b/>
          <w:i w:val="0"/>
          <w:smallCaps w:val="0"/>
          <w:strike w:val="0"/>
          <w:sz w:val="22"/>
          <w:highlight w:val="cyan"/>
          <w:u w:val="single"/>
        </w:rPr>
        <w:t>guidance from the Supreme Court</w:t>
      </w:r>
      <w:r>
        <w:rPr>
          <w:b w:val="0"/>
          <w:i w:val="0"/>
          <w:smallCaps w:val="0"/>
          <w:strike w:val="0"/>
          <w:sz w:val="16"/>
          <w:u w:val="none"/>
        </w:rPr>
        <w:t>.</w:t>
      </w:r>
    </w:p>
    <w:p>
      <w:pPr>
        <w:spacing w:after="60"/>
      </w:pPr>
      <w:r>
        <w:rPr>
          <w:b w:val="0"/>
          <w:i w:val="0"/>
          <w:smallCaps w:val="0"/>
          <w:strike w:val="0"/>
          <w:sz w:val="22"/>
          <w:u w:val="single"/>
        </w:rPr>
        <w:t>The</w:t>
      </w:r>
      <w:r>
        <w:rPr>
          <w:b w:val="0"/>
          <w:i w:val="0"/>
          <w:smallCaps w:val="0"/>
          <w:strike w:val="0"/>
          <w:sz w:val="16"/>
          <w:u w:val="none"/>
        </w:rPr>
        <w:t xml:space="preserve"> underlying </w:t>
      </w:r>
      <w:r>
        <w:rPr>
          <w:b w:val="0"/>
          <w:i w:val="0"/>
          <w:smallCaps w:val="0"/>
          <w:strike w:val="0"/>
          <w:sz w:val="22"/>
          <w:u w:val="single"/>
        </w:rPr>
        <w:t>dispute</w:t>
      </w:r>
      <w:r>
        <w:rPr>
          <w:b w:val="0"/>
          <w:i w:val="0"/>
          <w:smallCaps w:val="0"/>
          <w:strike w:val="0"/>
          <w:sz w:val="16"/>
          <w:u w:val="none"/>
        </w:rPr>
        <w:t xml:space="preserve"> in Warner Chappell </w:t>
      </w:r>
      <w:r>
        <w:rPr>
          <w:b w:val="0"/>
          <w:i w:val="0"/>
          <w:smallCaps w:val="0"/>
          <w:strike w:val="0"/>
          <w:sz w:val="22"/>
          <w:u w:val="single"/>
        </w:rPr>
        <w:t>stemmed from purported copyright infringement dating back 10 years before the suit was filed</w:t>
      </w:r>
      <w:r>
        <w:rPr>
          <w:b w:val="0"/>
          <w:i w:val="0"/>
          <w:smallCaps w:val="0"/>
          <w:strike w:val="0"/>
          <w:sz w:val="16"/>
          <w:u w:val="none"/>
        </w:rPr>
        <w:t xml:space="preserve">. Since some of the alleged infringing activity occurred outside the three-year statute of limitations period provided by the Copyright Act, the plaintiff relied on the discovery rule. As noted in the Supreme Court’s decision, the timeliness of the lawsuit was not challenged in the lower courts. </w:t>
      </w:r>
      <w:r>
        <w:rPr>
          <w:b w:val="0"/>
          <w:i w:val="0"/>
          <w:smallCaps w:val="0"/>
          <w:strike w:val="0"/>
          <w:sz w:val="22"/>
          <w:u w:val="single"/>
        </w:rPr>
        <w:t>The</w:t>
      </w:r>
      <w:r>
        <w:rPr>
          <w:b w:val="0"/>
          <w:i w:val="0"/>
          <w:smallCaps w:val="0"/>
          <w:strike w:val="0"/>
          <w:sz w:val="16"/>
          <w:u w:val="none"/>
        </w:rPr>
        <w:t xml:space="preserve"> sole </w:t>
      </w:r>
      <w:r>
        <w:rPr>
          <w:b w:val="0"/>
          <w:i w:val="0"/>
          <w:smallCaps w:val="0"/>
          <w:strike w:val="0"/>
          <w:sz w:val="22"/>
          <w:u w:val="single"/>
        </w:rPr>
        <w:t>question</w:t>
      </w:r>
      <w:r>
        <w:rPr>
          <w:b w:val="0"/>
          <w:i w:val="0"/>
          <w:smallCaps w:val="0"/>
          <w:strike w:val="0"/>
          <w:sz w:val="16"/>
          <w:u w:val="none"/>
        </w:rPr>
        <w:t xml:space="preserve"> </w:t>
      </w:r>
      <w:r>
        <w:rPr>
          <w:b w:val="0"/>
          <w:i w:val="0"/>
          <w:smallCaps w:val="0"/>
          <w:strike w:val="0"/>
          <w:sz w:val="22"/>
          <w:u w:val="single"/>
        </w:rPr>
        <w:t>presented</w:t>
      </w:r>
      <w:r>
        <w:rPr>
          <w:b w:val="0"/>
          <w:i w:val="0"/>
          <w:smallCaps w:val="0"/>
          <w:strike w:val="0"/>
          <w:sz w:val="16"/>
          <w:u w:val="none"/>
        </w:rPr>
        <w:t xml:space="preserve"> </w:t>
      </w:r>
      <w:r>
        <w:rPr>
          <w:b w:val="0"/>
          <w:i w:val="0"/>
          <w:smallCaps w:val="0"/>
          <w:strike w:val="0"/>
          <w:sz w:val="22"/>
          <w:u w:val="single"/>
        </w:rPr>
        <w:t>to the Supreme Court</w:t>
      </w:r>
      <w:r>
        <w:rPr>
          <w:b w:val="0"/>
          <w:i w:val="0"/>
          <w:smallCaps w:val="0"/>
          <w:strike w:val="0"/>
          <w:sz w:val="16"/>
          <w:u w:val="none"/>
        </w:rPr>
        <w:t xml:space="preserve">, therefore, </w:t>
      </w:r>
      <w:r>
        <w:rPr>
          <w:b w:val="0"/>
          <w:i w:val="0"/>
          <w:smallCaps w:val="0"/>
          <w:strike w:val="0"/>
          <w:sz w:val="22"/>
          <w:u w:val="single"/>
        </w:rPr>
        <w:t>was whether the plaintiff could recover damages dating to more than three years prior to the filing of the lawsuit</w:t>
      </w:r>
      <w:r>
        <w:rPr>
          <w:b w:val="0"/>
          <w:i w:val="0"/>
          <w:smallCaps w:val="0"/>
          <w:strike w:val="0"/>
          <w:sz w:val="16"/>
          <w:u w:val="none"/>
        </w:rPr>
        <w:t>.</w:t>
      </w:r>
    </w:p>
    <w:p>
      <w:pPr>
        <w:spacing w:after="60"/>
      </w:pPr>
      <w:r>
        <w:rPr>
          <w:b w:val="0"/>
          <w:i w:val="0"/>
          <w:smallCaps w:val="0"/>
          <w:strike w:val="0"/>
          <w:sz w:val="16"/>
          <w:u w:val="none"/>
        </w:rPr>
        <w:t xml:space="preserve">The Court granted certiorari to weigh in on a split among circuits stemming from differing interpretations of the Supreme Court’s decision in Petrella v. Metro-Goldwyn-Mayer, Inc., 572 U.S. 663 (2014). The Petrella decision stated that copyright plaintiffs may “gain retrospective relief running only three years back from” the filing of the suit. 572 U.S. at 672. The Second and Ninth Circuits proffered different interpretations of Petrella as the basis for decisions regarding copyright damages available in conjunction with the discovery rule. While the Second Circuit in Sohm v. Scholastic Inc., 959 F.3d 39 (2d Cir. 2020) limited copyright damages to “the three years prior to filing” of the action, the Ninth Circuit ruled the opposite way in Starz Entertainment, LLC v. MGM Domestic Television Distribution, LLC, 39 F. 4th 1236 (9th Cir. 2022), holding that a plaintiff may recover damages beyond three years from the date of filing so long as the claim is timely under the discovery rule. Although the trial court in Warner Chappell followed the Second Circuit’s interpretation of a three-year damages bar for a timely claim, the Eleventh Circuit reversed and allowed the plaintiff to seek damages on any infringement claims that were timely under the discovery rule. </w:t>
      </w:r>
      <w:r>
        <w:rPr>
          <w:b w:val="0"/>
          <w:i w:val="0"/>
          <w:smallCaps w:val="0"/>
          <w:strike w:val="0"/>
          <w:sz w:val="22"/>
          <w:u w:val="single"/>
        </w:rPr>
        <w:t>The</w:t>
      </w:r>
      <w:r>
        <w:rPr>
          <w:b w:val="0"/>
          <w:i w:val="0"/>
          <w:smallCaps w:val="0"/>
          <w:strike w:val="0"/>
          <w:sz w:val="16"/>
          <w:u w:val="none"/>
        </w:rPr>
        <w:t xml:space="preserve"> Supreme </w:t>
      </w:r>
      <w:r>
        <w:rPr>
          <w:b w:val="0"/>
          <w:i w:val="0"/>
          <w:smallCaps w:val="0"/>
          <w:strike w:val="0"/>
          <w:sz w:val="22"/>
          <w:u w:val="single"/>
        </w:rPr>
        <w:t>Court agreed with the Eleventh Circuit’s</w:t>
      </w:r>
      <w:r>
        <w:rPr>
          <w:b w:val="0"/>
          <w:i w:val="0"/>
          <w:smallCaps w:val="0"/>
          <w:strike w:val="0"/>
          <w:sz w:val="16"/>
          <w:u w:val="none"/>
        </w:rPr>
        <w:t xml:space="preserve"> </w:t>
      </w:r>
      <w:r>
        <w:rPr>
          <w:b w:val="0"/>
          <w:i w:val="0"/>
          <w:smallCaps w:val="0"/>
          <w:strike w:val="0"/>
          <w:sz w:val="22"/>
          <w:u w:val="single"/>
        </w:rPr>
        <w:t>position</w:t>
      </w:r>
      <w:r>
        <w:rPr>
          <w:b w:val="0"/>
          <w:i w:val="0"/>
          <w:smallCaps w:val="0"/>
          <w:strike w:val="0"/>
          <w:sz w:val="16"/>
          <w:u w:val="none"/>
        </w:rPr>
        <w:t xml:space="preserve">, </w:t>
      </w:r>
      <w:r>
        <w:rPr>
          <w:b w:val="0"/>
          <w:i w:val="0"/>
          <w:smallCaps w:val="0"/>
          <w:strike w:val="0"/>
          <w:sz w:val="22"/>
          <w:u w:val="single"/>
        </w:rPr>
        <w:t>noting that the three-year period in the Copyright Act is a</w:t>
      </w:r>
      <w:r>
        <w:rPr>
          <w:b w:val="0"/>
          <w:i w:val="0"/>
          <w:smallCaps w:val="0"/>
          <w:strike w:val="0"/>
          <w:sz w:val="16"/>
          <w:u w:val="none"/>
        </w:rPr>
        <w:t xml:space="preserve"> “</w:t>
      </w:r>
      <w:r>
        <w:rPr>
          <w:b/>
          <w:i w:val="0"/>
          <w:smallCaps w:val="0"/>
          <w:strike w:val="0"/>
          <w:sz w:val="22"/>
          <w:u w:val="single"/>
        </w:rPr>
        <w:t>time-to-sue prescription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the Act</w:t>
      </w:r>
      <w:r>
        <w:rPr>
          <w:b w:val="0"/>
          <w:i w:val="0"/>
          <w:smallCaps w:val="0"/>
          <w:strike w:val="0"/>
          <w:sz w:val="16"/>
          <w:u w:val="none"/>
        </w:rPr>
        <w:t xml:space="preserve"> is otherwise </w:t>
      </w:r>
      <w:r>
        <w:rPr>
          <w:b/>
          <w:i w:val="0"/>
          <w:smallCaps w:val="0"/>
          <w:strike w:val="0"/>
          <w:sz w:val="22"/>
          <w:u w:val="single"/>
        </w:rPr>
        <w:t>silent on damages</w:t>
      </w:r>
      <w:r>
        <w:rPr>
          <w:b w:val="0"/>
          <w:i w:val="0"/>
          <w:smallCaps w:val="0"/>
          <w:strike w:val="0"/>
          <w:sz w:val="16"/>
          <w:u w:val="none"/>
        </w:rPr>
        <w:t xml:space="preserve">, </w:t>
      </w:r>
      <w:r>
        <w:rPr>
          <w:b w:val="0"/>
          <w:i w:val="0"/>
          <w:smallCaps w:val="0"/>
          <w:strike w:val="0"/>
          <w:sz w:val="22"/>
          <w:u w:val="single"/>
        </w:rPr>
        <w:t>even in the remedial sections,</w:t>
      </w:r>
      <w:r>
        <w:rPr>
          <w:b w:val="0"/>
          <w:i w:val="0"/>
          <w:smallCaps w:val="0"/>
          <w:strike w:val="0"/>
          <w:sz w:val="16"/>
          <w:u w:val="none"/>
        </w:rPr>
        <w:t xml:space="preserve"> and </w:t>
      </w:r>
      <w:r>
        <w:rPr>
          <w:b w:val="0"/>
          <w:i w:val="0"/>
          <w:smallCaps w:val="0"/>
          <w:strike w:val="0"/>
          <w:sz w:val="22"/>
          <w:u w:val="single"/>
        </w:rPr>
        <w:t>thus affirmed</w:t>
      </w:r>
      <w:r>
        <w:rPr>
          <w:b w:val="0"/>
          <w:i w:val="0"/>
          <w:smallCaps w:val="0"/>
          <w:strike w:val="0"/>
          <w:sz w:val="22"/>
          <w:u w:val="single"/>
        </w:rPr>
        <w:t>.</w:t>
      </w:r>
    </w:p>
    <w:p>
      <w:pPr>
        <w:spacing w:after="60"/>
      </w:pPr>
      <w:r>
        <w:rPr>
          <w:b w:val="0"/>
          <w:i w:val="0"/>
          <w:smallCaps w:val="0"/>
          <w:strike w:val="0"/>
          <w:sz w:val="22"/>
          <w:u w:val="single"/>
        </w:rPr>
        <w:t>Lurking in the background</w:t>
      </w:r>
      <w:r>
        <w:rPr>
          <w:b w:val="0"/>
          <w:i w:val="0"/>
          <w:smallCaps w:val="0"/>
          <w:strike w:val="0"/>
          <w:sz w:val="16"/>
          <w:u w:val="none"/>
        </w:rPr>
        <w:t xml:space="preserve"> of this victory for the plaintiff, however, </w:t>
      </w:r>
      <w:r>
        <w:rPr>
          <w:b w:val="0"/>
          <w:i w:val="0"/>
          <w:smallCaps w:val="0"/>
          <w:strike w:val="0"/>
          <w:sz w:val="22"/>
          <w:u w:val="single"/>
        </w:rPr>
        <w:t xml:space="preserve">remains the </w:t>
      </w:r>
      <w:r>
        <w:rPr>
          <w:b/>
          <w:i w:val="0"/>
          <w:smallCaps w:val="0"/>
          <w:strike w:val="0"/>
          <w:sz w:val="22"/>
          <w:u w:val="single"/>
        </w:rPr>
        <w:t>question</w:t>
      </w:r>
      <w:r>
        <w:rPr>
          <w:b w:val="0"/>
          <w:i w:val="0"/>
          <w:smallCaps w:val="0"/>
          <w:strike w:val="0"/>
          <w:sz w:val="22"/>
          <w:u w:val="single"/>
        </w:rPr>
        <w:t xml:space="preserve"> of </w:t>
      </w:r>
      <w:r>
        <w:rPr>
          <w:b/>
          <w:i w:val="0"/>
          <w:smallCaps w:val="0"/>
          <w:strike w:val="0"/>
          <w:sz w:val="22"/>
          <w:u w:val="single"/>
        </w:rPr>
        <w:t>whether such claims</w:t>
      </w:r>
      <w:r>
        <w:rPr>
          <w:b w:val="0"/>
          <w:i w:val="0"/>
          <w:smallCaps w:val="0"/>
          <w:strike w:val="0"/>
          <w:sz w:val="22"/>
          <w:u w:val="single"/>
        </w:rPr>
        <w:t xml:space="preserve"> are in fact </w:t>
      </w:r>
      <w:r>
        <w:rPr>
          <w:b/>
          <w:i w:val="0"/>
          <w:smallCaps w:val="0"/>
          <w:strike w:val="0"/>
          <w:sz w:val="22"/>
          <w:u w:val="single"/>
        </w:rPr>
        <w:t>timely</w:t>
      </w:r>
      <w:r>
        <w:rPr>
          <w:b w:val="0"/>
          <w:i w:val="0"/>
          <w:smallCaps w:val="0"/>
          <w:strike w:val="0"/>
          <w:sz w:val="22"/>
          <w:u w:val="single"/>
        </w:rPr>
        <w:t xml:space="preserve"> under the </w:t>
      </w:r>
      <w:r>
        <w:rPr>
          <w:b/>
          <w:i w:val="0"/>
          <w:smallCaps w:val="0"/>
          <w:strike w:val="0"/>
          <w:sz w:val="22"/>
          <w:u w:val="single"/>
        </w:rPr>
        <w:t>Copyright Act.</w:t>
      </w:r>
      <w:r>
        <w:rPr>
          <w:b w:val="0"/>
          <w:i w:val="0"/>
          <w:smallCaps w:val="0"/>
          <w:strike w:val="0"/>
          <w:sz w:val="16"/>
          <w:u w:val="none"/>
        </w:rPr>
        <w:t xml:space="preserve"> Under the discovery rule, a claim accrues (i.e., starts the relevant limitations period) when a plaintiff discovers, or with due diligence should have discovered, the injury that forms the basis for the claim. </w:t>
      </w:r>
      <w:r>
        <w:rPr>
          <w:b w:val="0"/>
          <w:i w:val="0"/>
          <w:smallCaps w:val="0"/>
          <w:strike w:val="0"/>
          <w:sz w:val="22"/>
          <w:u w:val="single"/>
        </w:rPr>
        <w:t>Without the discovery rule</w:t>
      </w:r>
      <w:r>
        <w:rPr>
          <w:b w:val="0"/>
          <w:i w:val="0"/>
          <w:smallCaps w:val="0"/>
          <w:strike w:val="0"/>
          <w:sz w:val="16"/>
          <w:u w:val="none"/>
        </w:rPr>
        <w:t xml:space="preserve">, </w:t>
      </w:r>
      <w:r>
        <w:rPr>
          <w:b w:val="0"/>
          <w:i w:val="0"/>
          <w:smallCaps w:val="0"/>
          <w:strike w:val="0"/>
          <w:sz w:val="22"/>
          <w:u w:val="single"/>
        </w:rPr>
        <w:t xml:space="preserve">a copyright claim generally accrues when the infringement </w:t>
      </w:r>
      <w:r>
        <w:rPr>
          <w:b w:val="0"/>
          <w:i w:val="0"/>
          <w:smallCaps w:val="0"/>
          <w:strike w:val="0"/>
          <w:sz w:val="22"/>
          <w:u w:val="single"/>
        </w:rPr>
        <w:t>occurs and the plaintiff can file suit and obtain relief under the</w:t>
      </w:r>
      <w:r>
        <w:rPr>
          <w:b w:val="0"/>
          <w:i w:val="0"/>
          <w:smallCaps w:val="0"/>
          <w:strike w:val="0"/>
          <w:sz w:val="16"/>
          <w:u w:val="none"/>
        </w:rPr>
        <w:t xml:space="preserve"> “</w:t>
      </w:r>
      <w:r>
        <w:rPr>
          <w:b/>
          <w:i w:val="0"/>
          <w:smallCaps w:val="0"/>
          <w:strike w:val="0"/>
          <w:sz w:val="22"/>
          <w:u w:val="single"/>
        </w:rPr>
        <w:t>incident of injury</w:t>
      </w:r>
      <w:r>
        <w:rPr>
          <w:b w:val="0"/>
          <w:i w:val="0"/>
          <w:smallCaps w:val="0"/>
          <w:strike w:val="0"/>
          <w:sz w:val="16"/>
          <w:u w:val="none"/>
        </w:rPr>
        <w:t xml:space="preserve"> </w:t>
      </w:r>
      <w:r>
        <w:rPr>
          <w:b/>
          <w:i w:val="0"/>
          <w:smallCaps w:val="0"/>
          <w:strike w:val="0"/>
          <w:sz w:val="22"/>
          <w:u w:val="single"/>
        </w:rPr>
        <w:t>rule</w:t>
      </w:r>
      <w:r>
        <w:rPr>
          <w:b w:val="0"/>
          <w:i w:val="0"/>
          <w:smallCaps w:val="0"/>
          <w:strike w:val="0"/>
          <w:sz w:val="16"/>
          <w:u w:val="none"/>
        </w:rPr>
        <w:t xml:space="preserve">.” </w:t>
      </w:r>
      <w:r>
        <w:rPr>
          <w:b w:val="0"/>
          <w:i w:val="0"/>
          <w:smallCaps w:val="0"/>
          <w:strike w:val="0"/>
          <w:sz w:val="22"/>
          <w:highlight w:val="cyan"/>
          <w:u w:val="single"/>
        </w:rPr>
        <w:t xml:space="preserve">The Supreme Court </w:t>
      </w:r>
      <w:r>
        <w:rPr>
          <w:b/>
          <w:i w:val="0"/>
          <w:smallCaps w:val="0"/>
          <w:strike w:val="0"/>
          <w:sz w:val="22"/>
          <w:highlight w:val="cyan"/>
          <w:u w:val="single"/>
        </w:rPr>
        <w:t>deliberately left open</w:t>
      </w:r>
      <w:r>
        <w:rPr>
          <w:b w:val="0"/>
          <w:i w:val="0"/>
          <w:smallCaps w:val="0"/>
          <w:strike w:val="0"/>
          <w:sz w:val="22"/>
          <w:u w:val="single"/>
        </w:rPr>
        <w:t xml:space="preserve"> </w:t>
      </w:r>
      <w:r>
        <w:rPr>
          <w:b w:val="0"/>
          <w:i w:val="0"/>
          <w:smallCaps w:val="0"/>
          <w:strike w:val="0"/>
          <w:sz w:val="22"/>
          <w:highlight w:val="cyan"/>
          <w:u w:val="single"/>
        </w:rPr>
        <w:t>whether</w:t>
      </w:r>
      <w:r>
        <w:rPr>
          <w:b w:val="0"/>
          <w:i w:val="0"/>
          <w:smallCaps w:val="0"/>
          <w:strike w:val="0"/>
          <w:sz w:val="22"/>
          <w:u w:val="single"/>
        </w:rPr>
        <w:t xml:space="preserve"> </w:t>
      </w:r>
      <w:r>
        <w:rPr>
          <w:b w:val="0"/>
          <w:i w:val="0"/>
          <w:smallCaps w:val="0"/>
          <w:strike w:val="0"/>
          <w:sz w:val="22"/>
          <w:highlight w:val="cyan"/>
          <w:u w:val="single"/>
        </w:rPr>
        <w:t xml:space="preserve">a </w:t>
      </w:r>
      <w:r>
        <w:rPr>
          <w:b/>
          <w:i w:val="0"/>
          <w:smallCaps w:val="0"/>
          <w:strike w:val="0"/>
          <w:sz w:val="22"/>
          <w:highlight w:val="cyan"/>
          <w:u w:val="single"/>
        </w:rPr>
        <w:t>claim</w:t>
      </w:r>
      <w:r>
        <w:rPr>
          <w:b w:val="0"/>
          <w:i w:val="0"/>
          <w:smallCaps w:val="0"/>
          <w:strike w:val="0"/>
          <w:sz w:val="22"/>
          <w:highlight w:val="cyan"/>
          <w:u w:val="single"/>
        </w:rPr>
        <w:t xml:space="preserve"> brought </w:t>
      </w:r>
      <w:r>
        <w:rPr>
          <w:b/>
          <w:i w:val="0"/>
          <w:smallCaps w:val="0"/>
          <w:strike w:val="0"/>
          <w:sz w:val="22"/>
          <w:highlight w:val="cyan"/>
          <w:u w:val="single"/>
        </w:rPr>
        <w:t>more than three</w:t>
      </w:r>
      <w:r>
        <w:rPr>
          <w:b/>
          <w:i w:val="0"/>
          <w:smallCaps w:val="0"/>
          <w:strike w:val="0"/>
          <w:sz w:val="22"/>
          <w:u w:val="single"/>
        </w:rPr>
        <w:t xml:space="preserve"> </w:t>
      </w:r>
      <w:r>
        <w:rPr>
          <w:b/>
          <w:i w:val="0"/>
          <w:smallCaps w:val="0"/>
          <w:strike w:val="0"/>
          <w:sz w:val="22"/>
          <w:highlight w:val="cyan"/>
          <w:u w:val="single"/>
        </w:rPr>
        <w:t>years</w:t>
      </w:r>
      <w:r>
        <w:rPr>
          <w:b w:val="0"/>
          <w:i w:val="0"/>
          <w:smallCaps w:val="0"/>
          <w:strike w:val="0"/>
          <w:sz w:val="22"/>
          <w:highlight w:val="cyan"/>
          <w:u w:val="single"/>
        </w:rPr>
        <w:t xml:space="preserve"> after the infringement</w:t>
      </w:r>
      <w:r>
        <w:rPr>
          <w:b w:val="0"/>
          <w:i w:val="0"/>
          <w:smallCaps w:val="0"/>
          <w:strike w:val="0"/>
          <w:sz w:val="22"/>
          <w:u w:val="single"/>
        </w:rPr>
        <w:t xml:space="preserve"> occurred </w:t>
      </w:r>
      <w:r>
        <w:rPr>
          <w:b w:val="0"/>
          <w:i w:val="0"/>
          <w:smallCaps w:val="0"/>
          <w:strike w:val="0"/>
          <w:sz w:val="22"/>
          <w:highlight w:val="cyan"/>
          <w:u w:val="single"/>
        </w:rPr>
        <w:t>may</w:t>
      </w:r>
      <w:r>
        <w:rPr>
          <w:b w:val="0"/>
          <w:i w:val="0"/>
          <w:smallCaps w:val="0"/>
          <w:strike w:val="0"/>
          <w:sz w:val="22"/>
          <w:u w:val="single"/>
        </w:rPr>
        <w:t xml:space="preserve"> </w:t>
      </w:r>
      <w:r>
        <w:rPr>
          <w:b w:val="0"/>
          <w:i w:val="0"/>
          <w:smallCaps w:val="0"/>
          <w:strike w:val="0"/>
          <w:sz w:val="22"/>
          <w:highlight w:val="cyan"/>
          <w:u w:val="single"/>
        </w:rPr>
        <w:t>be timely</w:t>
      </w:r>
      <w:r>
        <w:rPr>
          <w:b w:val="0"/>
          <w:i w:val="0"/>
          <w:smallCaps w:val="0"/>
          <w:strike w:val="0"/>
          <w:sz w:val="22"/>
          <w:u w:val="single"/>
        </w:rPr>
        <w:t xml:space="preserve"> </w:t>
      </w:r>
      <w:r>
        <w:rPr>
          <w:b w:val="0"/>
          <w:i w:val="0"/>
          <w:smallCaps w:val="0"/>
          <w:strike w:val="0"/>
          <w:sz w:val="22"/>
          <w:highlight w:val="cyan"/>
          <w:u w:val="single"/>
        </w:rPr>
        <w:t>under the discovery rule</w:t>
      </w:r>
      <w:r>
        <w:rPr>
          <w:b w:val="0"/>
          <w:i w:val="0"/>
          <w:smallCaps w:val="0"/>
          <w:strike w:val="0"/>
          <w:sz w:val="16"/>
          <w:u w:val="none"/>
        </w:rPr>
        <w:t xml:space="preserve">, </w:t>
      </w:r>
      <w:r>
        <w:rPr>
          <w:b w:val="0"/>
          <w:i w:val="0"/>
          <w:smallCaps w:val="0"/>
          <w:strike w:val="0"/>
          <w:sz w:val="22"/>
          <w:u w:val="single"/>
        </w:rPr>
        <w:t>finding</w:t>
      </w:r>
      <w:r>
        <w:rPr>
          <w:b w:val="0"/>
          <w:i w:val="0"/>
          <w:smallCaps w:val="0"/>
          <w:strike w:val="0"/>
          <w:sz w:val="16"/>
          <w:u w:val="none"/>
        </w:rPr>
        <w:t xml:space="preserve"> </w:t>
      </w:r>
      <w:r>
        <w:rPr>
          <w:b w:val="0"/>
          <w:i w:val="0"/>
          <w:smallCaps w:val="0"/>
          <w:strike w:val="0"/>
          <w:sz w:val="22"/>
          <w:u w:val="single"/>
        </w:rPr>
        <w:t>only that the Copyright Act</w:t>
      </w:r>
      <w:r>
        <w:rPr>
          <w:b w:val="0"/>
          <w:i w:val="0"/>
          <w:smallCaps w:val="0"/>
          <w:strike w:val="0"/>
          <w:sz w:val="16"/>
          <w:u w:val="none"/>
        </w:rPr>
        <w:t xml:space="preserve"> “</w:t>
      </w:r>
      <w:r>
        <w:rPr>
          <w:b/>
          <w:i w:val="0"/>
          <w:smallCaps w:val="0"/>
          <w:strike w:val="0"/>
          <w:sz w:val="22"/>
          <w:u w:val="single"/>
        </w:rPr>
        <w:t>contains no separate time-based limit</w:t>
      </w:r>
      <w:r>
        <w:rPr>
          <w:b w:val="0"/>
          <w:i w:val="0"/>
          <w:smallCaps w:val="0"/>
          <w:strike w:val="0"/>
          <w:sz w:val="22"/>
          <w:u w:val="single"/>
        </w:rPr>
        <w:t xml:space="preserve"> on </w:t>
      </w:r>
      <w:r>
        <w:rPr>
          <w:b/>
          <w:i w:val="0"/>
          <w:smallCaps w:val="0"/>
          <w:strike w:val="0"/>
          <w:sz w:val="22"/>
          <w:u w:val="single"/>
        </w:rPr>
        <w:t>monetary recovery</w:t>
      </w:r>
      <w:r>
        <w:rPr>
          <w:b w:val="0"/>
          <w:i w:val="0"/>
          <w:smallCaps w:val="0"/>
          <w:strike w:val="0"/>
          <w:sz w:val="16"/>
          <w:u w:val="none"/>
        </w:rPr>
        <w:t xml:space="preserve">.” The </w:t>
      </w:r>
      <w:r>
        <w:rPr>
          <w:b w:val="0"/>
          <w:i w:val="0"/>
          <w:smallCaps w:val="0"/>
          <w:strike w:val="0"/>
          <w:sz w:val="22"/>
          <w:u w:val="single"/>
        </w:rPr>
        <w:t>dissenting</w:t>
      </w:r>
      <w:r>
        <w:rPr>
          <w:b w:val="0"/>
          <w:i w:val="0"/>
          <w:smallCaps w:val="0"/>
          <w:strike w:val="0"/>
          <w:sz w:val="16"/>
          <w:u w:val="none"/>
        </w:rPr>
        <w:t xml:space="preserve"> </w:t>
      </w:r>
      <w:r>
        <w:rPr>
          <w:b w:val="0"/>
          <w:i w:val="0"/>
          <w:smallCaps w:val="0"/>
          <w:strike w:val="0"/>
          <w:sz w:val="22"/>
          <w:u w:val="single"/>
        </w:rPr>
        <w:t>justices</w:t>
      </w:r>
      <w:r>
        <w:rPr>
          <w:b w:val="0"/>
          <w:i w:val="0"/>
          <w:smallCaps w:val="0"/>
          <w:strike w:val="0"/>
          <w:sz w:val="16"/>
          <w:u w:val="none"/>
        </w:rPr>
        <w:t xml:space="preserve"> </w:t>
      </w:r>
      <w:r>
        <w:rPr>
          <w:b w:val="0"/>
          <w:i w:val="0"/>
          <w:smallCaps w:val="0"/>
          <w:strike w:val="0"/>
          <w:sz w:val="22"/>
          <w:u w:val="single"/>
        </w:rPr>
        <w:t>took issue</w:t>
      </w:r>
      <w:r>
        <w:rPr>
          <w:b w:val="0"/>
          <w:i w:val="0"/>
          <w:smallCaps w:val="0"/>
          <w:strike w:val="0"/>
          <w:sz w:val="16"/>
          <w:u w:val="none"/>
        </w:rPr>
        <w:t xml:space="preserve"> with this approach, </w:t>
      </w:r>
      <w:r>
        <w:rPr>
          <w:b w:val="0"/>
          <w:i w:val="0"/>
          <w:smallCaps w:val="0"/>
          <w:strike w:val="0"/>
          <w:sz w:val="22"/>
          <w:u w:val="single"/>
        </w:rPr>
        <w:t>noting</w:t>
      </w:r>
      <w:r>
        <w:rPr>
          <w:b w:val="0"/>
          <w:i w:val="0"/>
          <w:smallCaps w:val="0"/>
          <w:strike w:val="0"/>
          <w:sz w:val="16"/>
          <w:u w:val="none"/>
        </w:rPr>
        <w:t xml:space="preserve"> that </w:t>
      </w:r>
      <w:r>
        <w:rPr>
          <w:b w:val="0"/>
          <w:i w:val="0"/>
          <w:smallCaps w:val="0"/>
          <w:strike w:val="0"/>
          <w:sz w:val="22"/>
          <w:u w:val="single"/>
        </w:rPr>
        <w:t>they would have</w:t>
      </w:r>
      <w:r>
        <w:rPr>
          <w:b w:val="0"/>
          <w:i w:val="0"/>
          <w:smallCaps w:val="0"/>
          <w:strike w:val="0"/>
          <w:sz w:val="16"/>
          <w:u w:val="none"/>
        </w:rPr>
        <w:t xml:space="preserve"> “</w:t>
      </w:r>
      <w:r>
        <w:rPr>
          <w:b w:val="0"/>
          <w:i w:val="0"/>
          <w:smallCaps w:val="0"/>
          <w:strike w:val="0"/>
          <w:sz w:val="22"/>
          <w:u w:val="single"/>
        </w:rPr>
        <w:t>awaited another</w:t>
      </w:r>
      <w:r>
        <w:rPr>
          <w:b w:val="0"/>
          <w:i w:val="0"/>
          <w:smallCaps w:val="0"/>
          <w:strike w:val="0"/>
          <w:sz w:val="16"/>
          <w:u w:val="none"/>
        </w:rPr>
        <w:t xml:space="preserve"> [</w:t>
      </w:r>
      <w:r>
        <w:rPr>
          <w:b w:val="0"/>
          <w:i w:val="0"/>
          <w:smallCaps w:val="0"/>
          <w:strike w:val="0"/>
          <w:sz w:val="22"/>
          <w:u w:val="single"/>
        </w:rPr>
        <w:t>case</w:t>
      </w:r>
      <w:r>
        <w:rPr>
          <w:b w:val="0"/>
          <w:i w:val="0"/>
          <w:smallCaps w:val="0"/>
          <w:strike w:val="0"/>
          <w:sz w:val="16"/>
          <w:u w:val="none"/>
        </w:rPr>
        <w:t xml:space="preserve">] </w:t>
      </w:r>
      <w:r>
        <w:rPr>
          <w:b w:val="0"/>
          <w:i w:val="0"/>
          <w:smallCaps w:val="0"/>
          <w:strike w:val="0"/>
          <w:sz w:val="22"/>
          <w:u w:val="single"/>
        </w:rPr>
        <w:t>squarely presenting the question whether the Copyright Act authorizes the discovery rule</w:t>
      </w:r>
      <w:r>
        <w:rPr>
          <w:b w:val="0"/>
          <w:i w:val="0"/>
          <w:smallCaps w:val="0"/>
          <w:strike w:val="0"/>
          <w:sz w:val="16"/>
          <w:u w:val="none"/>
        </w:rPr>
        <w:t xml:space="preserve">” </w:t>
      </w:r>
      <w:r>
        <w:rPr>
          <w:b w:val="0"/>
          <w:i w:val="0"/>
          <w:smallCaps w:val="0"/>
          <w:strike w:val="0"/>
          <w:sz w:val="22"/>
          <w:u w:val="single"/>
        </w:rPr>
        <w:t>rather than deciding the damages issue now</w:t>
      </w:r>
      <w:r>
        <w:rPr>
          <w:b w:val="0"/>
          <w:i w:val="0"/>
          <w:smallCaps w:val="0"/>
          <w:strike w:val="0"/>
          <w:sz w:val="16"/>
          <w:u w:val="none"/>
        </w:rPr>
        <w:t>.</w:t>
      </w:r>
    </w:p>
    <w:p>
      <w:pPr>
        <w:spacing w:after="60"/>
      </w:pPr>
      <w:r>
        <w:rPr>
          <w:b w:val="0"/>
          <w:i w:val="0"/>
          <w:smallCaps w:val="0"/>
          <w:strike w:val="0"/>
          <w:sz w:val="16"/>
          <w:u w:val="none"/>
        </w:rPr>
        <w:t xml:space="preserve">In fact, </w:t>
      </w:r>
      <w:r>
        <w:rPr>
          <w:b w:val="0"/>
          <w:i w:val="0"/>
          <w:smallCaps w:val="0"/>
          <w:strike w:val="0"/>
          <w:sz w:val="22"/>
          <w:u w:val="single"/>
        </w:rPr>
        <w:t>the Supreme Court</w:t>
      </w:r>
      <w:r>
        <w:rPr>
          <w:b w:val="0"/>
          <w:i w:val="0"/>
          <w:smallCaps w:val="0"/>
          <w:strike w:val="0"/>
          <w:sz w:val="16"/>
          <w:u w:val="none"/>
        </w:rPr>
        <w:t xml:space="preserve"> currently </w:t>
      </w:r>
      <w:r>
        <w:rPr>
          <w:b w:val="0"/>
          <w:i w:val="0"/>
          <w:smallCaps w:val="0"/>
          <w:strike w:val="0"/>
          <w:sz w:val="22"/>
          <w:u w:val="single"/>
        </w:rPr>
        <w:t>has pending on its docket</w:t>
      </w:r>
      <w:r>
        <w:rPr>
          <w:b w:val="0"/>
          <w:i w:val="0"/>
          <w:smallCaps w:val="0"/>
          <w:strike w:val="0"/>
          <w:sz w:val="16"/>
          <w:u w:val="none"/>
        </w:rPr>
        <w:t xml:space="preserve"> </w:t>
      </w:r>
      <w:r>
        <w:rPr>
          <w:b/>
          <w:i w:val="0"/>
          <w:smallCaps w:val="0"/>
          <w:strike w:val="0"/>
          <w:sz w:val="22"/>
          <w:u w:val="single"/>
        </w:rPr>
        <w:t>Hearst Newspapers</w:t>
      </w:r>
      <w:r>
        <w:rPr>
          <w:b w:val="0"/>
          <w:i w:val="0"/>
          <w:smallCaps w:val="0"/>
          <w:strike w:val="0"/>
          <w:sz w:val="16"/>
          <w:u w:val="none"/>
        </w:rPr>
        <w:t xml:space="preserve">, L.L.C., et al., v. Antonio Martinelli, </w:t>
      </w:r>
      <w:r>
        <w:rPr>
          <w:b w:val="0"/>
          <w:i w:val="0"/>
          <w:smallCaps w:val="0"/>
          <w:strike w:val="0"/>
          <w:sz w:val="22"/>
          <w:u w:val="single"/>
        </w:rPr>
        <w:t>in which this very question has been presented</w:t>
      </w:r>
      <w:r>
        <w:rPr>
          <w:b w:val="0"/>
          <w:i w:val="0"/>
          <w:smallCaps w:val="0"/>
          <w:strike w:val="0"/>
          <w:sz w:val="16"/>
          <w:u w:val="none"/>
        </w:rPr>
        <w:t xml:space="preserve">. </w:t>
      </w:r>
      <w:r>
        <w:rPr>
          <w:b w:val="0"/>
          <w:i w:val="0"/>
          <w:smallCaps w:val="0"/>
          <w:strike w:val="0"/>
          <w:sz w:val="22"/>
          <w:u w:val="single"/>
        </w:rPr>
        <w:t>The Court</w:t>
      </w:r>
      <w:r>
        <w:rPr>
          <w:b w:val="0"/>
          <w:i w:val="0"/>
          <w:smallCaps w:val="0"/>
          <w:strike w:val="0"/>
          <w:sz w:val="16"/>
          <w:u w:val="none"/>
        </w:rPr>
        <w:t xml:space="preserve"> has </w:t>
      </w:r>
      <w:r>
        <w:rPr>
          <w:b w:val="0"/>
          <w:i w:val="0"/>
          <w:smallCaps w:val="0"/>
          <w:strike w:val="0"/>
          <w:sz w:val="22"/>
          <w:u w:val="single"/>
        </w:rPr>
        <w:t>not yet decided whether to grant certiorari</w:t>
      </w:r>
      <w:r>
        <w:rPr>
          <w:b w:val="0"/>
          <w:i w:val="0"/>
          <w:smallCaps w:val="0"/>
          <w:strike w:val="0"/>
          <w:sz w:val="16"/>
          <w:u w:val="none"/>
        </w:rPr>
        <w:t xml:space="preserve">. If the dissent or oral arguments in the Warner Chappell case are any indication, the Supreme Court may be interested in answering this “antecedent question,” as it is characterized by the dissent. Although the dissent in Warner Chappell casts a shadow over the availability of the discovery rule since at least three justices appear ready to limit its scope in copyright cases, the majority opinion may imply a willingness to increase available damages at least in some instances. Even </w:t>
      </w:r>
      <w:r>
        <w:rPr>
          <w:b w:val="0"/>
          <w:i w:val="0"/>
          <w:smallCaps w:val="0"/>
          <w:strike w:val="0"/>
          <w:sz w:val="22"/>
          <w:u w:val="single"/>
        </w:rPr>
        <w:t>the three dissenting justices seem to acknowledge that the discovery rule could apply in instances of fraud or concealment</w:t>
      </w:r>
      <w:r>
        <w:rPr>
          <w:b w:val="0"/>
          <w:i w:val="0"/>
          <w:smallCaps w:val="0"/>
          <w:strike w:val="0"/>
          <w:sz w:val="16"/>
          <w:u w:val="none"/>
        </w:rPr>
        <w:t>, albeit not cases in which the plaintiff simply did not discover the infringement until after the limitations period had run.</w:t>
      </w:r>
    </w:p>
    <w:p>
      <w:pPr>
        <w:spacing w:after="60"/>
      </w:pPr>
      <w:r>
        <w:rPr>
          <w:b w:val="0"/>
          <w:i w:val="0"/>
          <w:smallCaps w:val="0"/>
          <w:strike w:val="0"/>
          <w:sz w:val="22"/>
          <w:u w:val="single"/>
        </w:rPr>
        <w:t>Although</w:t>
      </w:r>
      <w:r>
        <w:rPr>
          <w:b w:val="0"/>
          <w:i w:val="0"/>
          <w:smallCaps w:val="0"/>
          <w:strike w:val="0"/>
          <w:sz w:val="16"/>
          <w:u w:val="none"/>
        </w:rPr>
        <w:t xml:space="preserve"> the Warner </w:t>
      </w:r>
      <w:r>
        <w:rPr>
          <w:b w:val="0"/>
          <w:i w:val="0"/>
          <w:smallCaps w:val="0"/>
          <w:strike w:val="0"/>
          <w:sz w:val="22"/>
          <w:highlight w:val="cyan"/>
          <w:u w:val="single"/>
        </w:rPr>
        <w:t>Chappell</w:t>
      </w:r>
      <w:r>
        <w:rPr>
          <w:b w:val="0"/>
          <w:i w:val="0"/>
          <w:smallCaps w:val="0"/>
          <w:strike w:val="0"/>
          <w:sz w:val="16"/>
          <w:u w:val="none"/>
        </w:rPr>
        <w:t xml:space="preserve"> </w:t>
      </w:r>
      <w:r>
        <w:rPr>
          <w:b w:val="0"/>
          <w:i w:val="0"/>
          <w:smallCaps w:val="0"/>
          <w:strike w:val="0"/>
          <w:sz w:val="22"/>
          <w:u w:val="single"/>
        </w:rPr>
        <w:t xml:space="preserve">decision </w:t>
      </w:r>
      <w:r>
        <w:rPr>
          <w:b/>
          <w:i w:val="0"/>
          <w:smallCaps w:val="0"/>
          <w:strike w:val="0"/>
          <w:sz w:val="22"/>
          <w:highlight w:val="cyan"/>
          <w:u w:val="single"/>
        </w:rPr>
        <w:t>provides a victory</w:t>
      </w:r>
      <w:r>
        <w:rPr>
          <w:b w:val="0"/>
          <w:i w:val="0"/>
          <w:smallCaps w:val="0"/>
          <w:strike w:val="0"/>
          <w:sz w:val="22"/>
          <w:highlight w:val="cyan"/>
          <w:u w:val="single"/>
        </w:rPr>
        <w:t xml:space="preserve"> for </w:t>
      </w:r>
      <w:r>
        <w:rPr>
          <w:b/>
          <w:i w:val="0"/>
          <w:smallCaps w:val="0"/>
          <w:strike w:val="0"/>
          <w:sz w:val="22"/>
          <w:highlight w:val="cyan"/>
          <w:u w:val="single"/>
        </w:rPr>
        <w:t>copyright plaintiffs</w:t>
      </w:r>
      <w:r>
        <w:rPr>
          <w:b w:val="0"/>
          <w:i w:val="0"/>
          <w:smallCaps w:val="0"/>
          <w:strike w:val="0"/>
          <w:sz w:val="22"/>
          <w:u w:val="single"/>
        </w:rPr>
        <w:t xml:space="preserve"> </w:t>
      </w:r>
      <w:r>
        <w:rPr>
          <w:b w:val="0"/>
          <w:i w:val="0"/>
          <w:smallCaps w:val="0"/>
          <w:strike w:val="0"/>
          <w:sz w:val="22"/>
          <w:highlight w:val="cyan"/>
          <w:u w:val="single"/>
        </w:rPr>
        <w:t>seeking damages for</w:t>
      </w:r>
      <w:r>
        <w:rPr>
          <w:b w:val="0"/>
          <w:i w:val="0"/>
          <w:smallCaps w:val="0"/>
          <w:strike w:val="0"/>
          <w:sz w:val="22"/>
          <w:u w:val="single"/>
        </w:rPr>
        <w:t xml:space="preserve"> </w:t>
      </w:r>
      <w:r>
        <w:rPr>
          <w:b w:val="0"/>
          <w:i w:val="0"/>
          <w:smallCaps w:val="0"/>
          <w:strike w:val="0"/>
          <w:sz w:val="22"/>
          <w:highlight w:val="cyan"/>
          <w:u w:val="single"/>
        </w:rPr>
        <w:t>infringements</w:t>
      </w:r>
      <w:r>
        <w:rPr>
          <w:b w:val="0"/>
          <w:i w:val="0"/>
          <w:smallCaps w:val="0"/>
          <w:strike w:val="0"/>
          <w:sz w:val="22"/>
          <w:u w:val="single"/>
        </w:rPr>
        <w:t xml:space="preserve"> dating back further than three years</w:t>
      </w:r>
      <w:r>
        <w:rPr>
          <w:b w:val="0"/>
          <w:i w:val="0"/>
          <w:smallCaps w:val="0"/>
          <w:strike w:val="0"/>
          <w:sz w:val="16"/>
          <w:u w:val="none"/>
        </w:rPr>
        <w:t xml:space="preserve">, </w:t>
      </w:r>
      <w:r>
        <w:rPr>
          <w:b w:val="0"/>
          <w:i w:val="0"/>
          <w:smallCaps w:val="0"/>
          <w:strike w:val="0"/>
          <w:sz w:val="22"/>
          <w:u w:val="single"/>
        </w:rPr>
        <w:t>it</w:t>
      </w:r>
      <w:r>
        <w:rPr>
          <w:b w:val="0"/>
          <w:i w:val="0"/>
          <w:smallCaps w:val="0"/>
          <w:strike w:val="0"/>
          <w:sz w:val="16"/>
          <w:u w:val="none"/>
        </w:rPr>
        <w:t xml:space="preserve"> </w:t>
      </w:r>
      <w:r>
        <w:rPr>
          <w:b w:val="0"/>
          <w:i w:val="0"/>
          <w:smallCaps w:val="0"/>
          <w:strike w:val="0"/>
          <w:sz w:val="22"/>
          <w:highlight w:val="cyan"/>
          <w:u w:val="single"/>
        </w:rPr>
        <w:t>bears</w:t>
      </w:r>
      <w:r>
        <w:rPr>
          <w:b w:val="0"/>
          <w:i w:val="0"/>
          <w:smallCaps w:val="0"/>
          <w:strike w:val="0"/>
          <w:sz w:val="22"/>
          <w:u w:val="single"/>
        </w:rPr>
        <w:t xml:space="preserve"> </w:t>
      </w:r>
      <w:r>
        <w:rPr>
          <w:b/>
          <w:i w:val="0"/>
          <w:smallCaps w:val="0"/>
          <w:strike w:val="0"/>
          <w:sz w:val="22"/>
          <w:highlight w:val="cyan"/>
          <w:u w:val="single"/>
        </w:rPr>
        <w:t>noting</w:t>
      </w:r>
      <w:r>
        <w:rPr>
          <w:b w:val="0"/>
          <w:i w:val="0"/>
          <w:smallCaps w:val="0"/>
          <w:strike w:val="0"/>
          <w:sz w:val="22"/>
          <w:u w:val="single"/>
        </w:rPr>
        <w:t xml:space="preserve"> that </w:t>
      </w:r>
      <w:r>
        <w:rPr>
          <w:b/>
          <w:i w:val="0"/>
          <w:smallCaps w:val="0"/>
          <w:strike w:val="0"/>
          <w:sz w:val="22"/>
          <w:highlight w:val="cyan"/>
          <w:u w:val="single"/>
        </w:rPr>
        <w:t>this only provides relief where</w:t>
      </w:r>
      <w:r>
        <w:rPr>
          <w:b/>
          <w:i w:val="0"/>
          <w:smallCaps w:val="0"/>
          <w:strike w:val="0"/>
          <w:sz w:val="22"/>
          <w:u w:val="single"/>
        </w:rPr>
        <w:t xml:space="preserve"> </w:t>
      </w:r>
      <w:r>
        <w:rPr>
          <w:b/>
          <w:i w:val="0"/>
          <w:smallCaps w:val="0"/>
          <w:strike w:val="0"/>
          <w:sz w:val="22"/>
          <w:highlight w:val="cyan"/>
          <w:u w:val="single"/>
        </w:rPr>
        <w:t>the</w:t>
      </w:r>
      <w:r>
        <w:rPr>
          <w:b/>
          <w:i w:val="0"/>
          <w:smallCaps w:val="0"/>
          <w:strike w:val="0"/>
          <w:sz w:val="22"/>
          <w:u w:val="single"/>
        </w:rPr>
        <w:t xml:space="preserve"> </w:t>
      </w:r>
      <w:r>
        <w:rPr>
          <w:b/>
          <w:i w:val="0"/>
          <w:smallCaps w:val="0"/>
          <w:strike w:val="0"/>
          <w:sz w:val="22"/>
          <w:highlight w:val="cyan"/>
          <w:u w:val="single"/>
        </w:rPr>
        <w:t>discovery rule applies</w:t>
      </w:r>
      <w:r>
        <w:rPr>
          <w:b w:val="0"/>
          <w:i w:val="0"/>
          <w:smallCaps w:val="0"/>
          <w:strike w:val="0"/>
          <w:sz w:val="16"/>
          <w:u w:val="none"/>
        </w:rPr>
        <w:t xml:space="preserve">. Thus, </w:t>
      </w:r>
      <w:r>
        <w:rPr>
          <w:b w:val="0"/>
          <w:i w:val="0"/>
          <w:smallCaps w:val="0"/>
          <w:strike w:val="0"/>
          <w:sz w:val="22"/>
          <w:highlight w:val="cyan"/>
          <w:u w:val="single"/>
        </w:rPr>
        <w:t>the decision</w:t>
      </w:r>
      <w:r>
        <w:rPr>
          <w:b w:val="0"/>
          <w:i w:val="0"/>
          <w:smallCaps w:val="0"/>
          <w:strike w:val="0"/>
          <w:sz w:val="22"/>
          <w:u w:val="single"/>
        </w:rPr>
        <w:t xml:space="preserve"> nevertheless </w:t>
      </w:r>
      <w:r>
        <w:rPr>
          <w:b w:val="0"/>
          <w:i w:val="0"/>
          <w:smallCaps w:val="0"/>
          <w:strike w:val="0"/>
          <w:sz w:val="22"/>
          <w:highlight w:val="cyan"/>
          <w:u w:val="single"/>
        </w:rPr>
        <w:t>provides</w:t>
      </w:r>
      <w:r>
        <w:rPr>
          <w:b w:val="0"/>
          <w:i w:val="0"/>
          <w:smallCaps w:val="0"/>
          <w:strike w:val="0"/>
          <w:sz w:val="22"/>
          <w:u w:val="single"/>
        </w:rPr>
        <w:t xml:space="preserve"> </w:t>
      </w:r>
      <w:r>
        <w:rPr>
          <w:b w:val="0"/>
          <w:i w:val="0"/>
          <w:smallCaps w:val="0"/>
          <w:strike w:val="0"/>
          <w:sz w:val="22"/>
          <w:highlight w:val="cyan"/>
          <w:u w:val="single"/>
        </w:rPr>
        <w:t>an important reminder</w:t>
      </w:r>
      <w:r>
        <w:rPr>
          <w:b w:val="0"/>
          <w:i w:val="0"/>
          <w:smallCaps w:val="0"/>
          <w:strike w:val="0"/>
          <w:sz w:val="22"/>
          <w:u w:val="single"/>
        </w:rPr>
        <w:t xml:space="preserve"> for copyright owners to diligently monitor their works and to promptly take action regarding claims of infringement</w:t>
      </w:r>
      <w:r>
        <w:rPr>
          <w:b w:val="0"/>
          <w:i w:val="0"/>
          <w:smallCaps w:val="0"/>
          <w:strike w:val="0"/>
          <w:sz w:val="16"/>
          <w:u w:val="none"/>
        </w:rPr>
        <w:t xml:space="preserve">. While the discovery rule is currently available to plaintiffs, there remains a threshold requirement of reasonable diligence, </w:t>
      </w:r>
      <w:r>
        <w:rPr>
          <w:b w:val="0"/>
          <w:i w:val="0"/>
          <w:smallCaps w:val="0"/>
          <w:strike w:val="0"/>
          <w:sz w:val="22"/>
          <w:highlight w:val="cyan"/>
          <w:u w:val="single"/>
        </w:rPr>
        <w:t>aside from the</w:t>
      </w:r>
      <w:r>
        <w:rPr>
          <w:b w:val="0"/>
          <w:i w:val="0"/>
          <w:smallCaps w:val="0"/>
          <w:strike w:val="0"/>
          <w:sz w:val="16"/>
          <w:u w:val="none"/>
        </w:rPr>
        <w:t xml:space="preserve"> (potentially </w:t>
      </w:r>
      <w:r>
        <w:rPr>
          <w:b/>
          <w:i w:val="0"/>
          <w:smallCaps w:val="0"/>
          <w:strike w:val="0"/>
          <w:sz w:val="22"/>
          <w:highlight w:val="cyan"/>
          <w:u w:val="single"/>
        </w:rPr>
        <w:t>imminent</w:t>
      </w:r>
      <w:r>
        <w:rPr>
          <w:b w:val="0"/>
          <w:i w:val="0"/>
          <w:smallCaps w:val="0"/>
          <w:strike w:val="0"/>
          <w:sz w:val="16"/>
          <w:u w:val="none"/>
        </w:rPr>
        <w:t xml:space="preserve">) </w:t>
      </w:r>
      <w:r>
        <w:rPr>
          <w:b w:val="0"/>
          <w:i w:val="0"/>
          <w:smallCaps w:val="0"/>
          <w:strike w:val="0"/>
          <w:sz w:val="22"/>
          <w:highlight w:val="cyan"/>
          <w:u w:val="single"/>
        </w:rPr>
        <w:t>possibility</w:t>
      </w:r>
      <w:r>
        <w:rPr>
          <w:b w:val="0"/>
          <w:i w:val="0"/>
          <w:smallCaps w:val="0"/>
          <w:strike w:val="0"/>
          <w:sz w:val="22"/>
          <w:u w:val="single"/>
        </w:rPr>
        <w:t xml:space="preserve"> that </w:t>
      </w:r>
      <w:r>
        <w:rPr>
          <w:b w:val="0"/>
          <w:i w:val="0"/>
          <w:smallCaps w:val="0"/>
          <w:strike w:val="0"/>
          <w:sz w:val="22"/>
          <w:highlight w:val="cyan"/>
          <w:u w:val="single"/>
        </w:rPr>
        <w:t>the Supreme Court</w:t>
      </w:r>
      <w:r>
        <w:rPr>
          <w:b w:val="0"/>
          <w:i w:val="0"/>
          <w:smallCaps w:val="0"/>
          <w:strike w:val="0"/>
          <w:sz w:val="22"/>
          <w:u w:val="single"/>
        </w:rPr>
        <w:t xml:space="preserve"> </w:t>
      </w:r>
      <w:r>
        <w:rPr>
          <w:b w:val="0"/>
          <w:i w:val="0"/>
          <w:smallCaps w:val="0"/>
          <w:strike w:val="0"/>
          <w:sz w:val="22"/>
          <w:highlight w:val="cyan"/>
          <w:u w:val="single"/>
        </w:rPr>
        <w:t>will</w:t>
      </w:r>
      <w:r>
        <w:rPr>
          <w:b w:val="0"/>
          <w:i w:val="0"/>
          <w:smallCaps w:val="0"/>
          <w:strike w:val="0"/>
          <w:sz w:val="22"/>
          <w:u w:val="single"/>
        </w:rPr>
        <w:t xml:space="preserve"> </w:t>
      </w:r>
      <w:r>
        <w:rPr>
          <w:b/>
          <w:i w:val="0"/>
          <w:smallCaps w:val="0"/>
          <w:strike w:val="0"/>
          <w:sz w:val="22"/>
          <w:u w:val="single"/>
        </w:rPr>
        <w:t xml:space="preserve">further </w:t>
      </w:r>
      <w:r>
        <w:rPr>
          <w:b/>
          <w:i w:val="0"/>
          <w:smallCaps w:val="0"/>
          <w:strike w:val="0"/>
          <w:sz w:val="22"/>
          <w:highlight w:val="cyan"/>
          <w:u w:val="single"/>
        </w:rPr>
        <w:t>limit</w:t>
      </w:r>
      <w:r>
        <w:rPr>
          <w:b w:val="0"/>
          <w:i w:val="0"/>
          <w:smallCaps w:val="0"/>
          <w:strike w:val="0"/>
          <w:sz w:val="22"/>
          <w:highlight w:val="cyan"/>
          <w:u w:val="single"/>
        </w:rPr>
        <w:t xml:space="preserve"> or </w:t>
      </w:r>
      <w:r>
        <w:rPr>
          <w:b/>
          <w:i w:val="0"/>
          <w:smallCaps w:val="0"/>
          <w:strike w:val="0"/>
          <w:sz w:val="22"/>
          <w:highlight w:val="cyan"/>
          <w:u w:val="single"/>
        </w:rPr>
        <w:t>close this door in the future</w:t>
      </w:r>
      <w:r>
        <w:rPr>
          <w:b w:val="0"/>
          <w:i w:val="0"/>
          <w:smallCaps w:val="0"/>
          <w:strike w:val="0"/>
          <w:sz w:val="16"/>
          <w:highlight w:val="cyan"/>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