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EBay flows </w:t>
      </w:r>
      <w:r>
        <w:rPr>
          <w:b/>
          <w:i w:val="0"/>
          <w:smallCaps w:val="0"/>
          <w:strike w:val="0"/>
          <w:sz w:val="26"/>
          <w:u w:val="single"/>
        </w:rPr>
        <w:t>NEG</w:t>
      </w:r>
      <w:r>
        <w:rPr>
          <w:b/>
          <w:i w:val="0"/>
          <w:smallCaps w:val="0"/>
          <w:strike w:val="0"/>
          <w:sz w:val="26"/>
          <w:u w:val="none"/>
        </w:rPr>
        <w:t xml:space="preserve">---provides a </w:t>
      </w:r>
      <w:r>
        <w:rPr>
          <w:b/>
          <w:i w:val="0"/>
          <w:smallCaps w:val="0"/>
          <w:strike w:val="0"/>
          <w:sz w:val="26"/>
          <w:u w:val="single"/>
        </w:rPr>
        <w:t>brink</w:t>
      </w:r>
      <w:r>
        <w:rPr>
          <w:b/>
          <w:i w:val="0"/>
          <w:smallCaps w:val="0"/>
          <w:strike w:val="0"/>
          <w:sz w:val="26"/>
          <w:u w:val="none"/>
        </w:rPr>
        <w:t xml:space="preserve"> for us.</w:t>
      </w:r>
    </w:p>
    <w:p>
      <w:pPr>
        <w:spacing w:after="80"/>
      </w:pPr>
      <w:r>
        <w:rPr>
          <w:b w:val="0"/>
          <w:i w:val="0"/>
          <w:smallCaps w:val="0"/>
          <w:strike w:val="0"/>
          <w:u w:val="none"/>
        </w:rPr>
        <w:t xml:space="preserve">Eleanor </w:t>
      </w:r>
      <w:r>
        <w:rPr>
          <w:b/>
          <w:i w:val="0"/>
          <w:smallCaps w:val="0"/>
          <w:strike w:val="0"/>
          <w:sz w:val="26"/>
          <w:u w:val="single"/>
        </w:rPr>
        <w:t>Lackman 23</w:t>
      </w:r>
      <w:r>
        <w:rPr>
          <w:b w:val="0"/>
          <w:i w:val="0"/>
          <w:smallCaps w:val="0"/>
          <w:strike w:val="0"/>
          <w:u w:val="none"/>
        </w:rPr>
        <w:t xml:space="preserve">, partner in the litigation, copyright and trademark groups in Cowan DeBaets’ New York Office, 10/13/23, </w:t>
      </w:r>
      <w:r>
        <w:rPr>
          <w:b w:val="0"/>
          <w:i/>
          <w:smallCaps w:val="0"/>
          <w:strike w:val="0"/>
          <w:u w:val="none"/>
        </w:rPr>
        <w:t>CDAS</w:t>
      </w:r>
      <w:r>
        <w:rPr>
          <w:b w:val="0"/>
          <w:i w:val="0"/>
          <w:smallCaps w:val="0"/>
          <w:strike w:val="0"/>
          <w:u w:val="none"/>
        </w:rPr>
        <w:t xml:space="preserve">, “Shifting Injunction Standards in Copyright, Trademark Cases”, </w:t>
      </w:r>
      <w:r>
        <w:rPr>
          <w:b w:val="0"/>
          <w:i w:val="0"/>
          <w:smallCaps w:val="0"/>
          <w:strike w:val="0"/>
          <w:u w:val="none"/>
        </w:rPr>
        <w:t>https://cdas.com/shiftinginjunctionstandards/</w:t>
      </w:r>
      <w:r>
        <w:rPr>
          <w:b w:val="0"/>
          <w:i w:val="0"/>
          <w:smallCaps w:val="0"/>
          <w:strike w:val="0"/>
          <w:u w:val="none"/>
        </w:rPr>
        <w:t>, kcab</w:t>
      </w:r>
    </w:p>
    <w:p>
      <w:pPr>
        <w:spacing w:after="60"/>
      </w:pPr>
      <w:r>
        <w:rPr>
          <w:b w:val="0"/>
          <w:i w:val="0"/>
          <w:smallCaps w:val="0"/>
          <w:strike w:val="0"/>
          <w:sz w:val="16"/>
          <w:u w:val="none"/>
        </w:rPr>
        <w:t xml:space="preserve">For decades, </w:t>
      </w:r>
      <w:r>
        <w:rPr>
          <w:b w:val="0"/>
          <w:i w:val="0"/>
          <w:smallCaps w:val="0"/>
          <w:strike w:val="0"/>
          <w:sz w:val="22"/>
          <w:highlight w:val="cyan"/>
          <w:u w:val="single"/>
        </w:rPr>
        <w:t xml:space="preserve">obtaining an </w:t>
      </w:r>
      <w:r>
        <w:rPr>
          <w:b/>
          <w:i w:val="0"/>
          <w:smallCaps w:val="0"/>
          <w:strike w:val="0"/>
          <w:sz w:val="22"/>
          <w:highlight w:val="cyan"/>
          <w:u w:val="single"/>
        </w:rPr>
        <w:t>injunction</w:t>
      </w:r>
      <w:r>
        <w:rPr>
          <w:b w:val="0"/>
          <w:i w:val="0"/>
          <w:smallCaps w:val="0"/>
          <w:strike w:val="0"/>
          <w:sz w:val="22"/>
          <w:highlight w:val="cyan"/>
          <w:u w:val="single"/>
        </w:rPr>
        <w:t xml:space="preserve"> in a </w:t>
      </w:r>
      <w:r>
        <w:rPr>
          <w:b/>
          <w:i w:val="0"/>
          <w:smallCaps w:val="0"/>
          <w:strike w:val="0"/>
          <w:sz w:val="22"/>
          <w:highlight w:val="cyan"/>
          <w:u w:val="single"/>
        </w:rPr>
        <w:t>copyright</w:t>
      </w:r>
      <w:r>
        <w:rPr>
          <w:b w:val="0"/>
          <w:i w:val="0"/>
          <w:smallCaps w:val="0"/>
          <w:strike w:val="0"/>
          <w:sz w:val="22"/>
          <w:highlight w:val="cyan"/>
          <w:u w:val="single"/>
        </w:rPr>
        <w:t xml:space="preserve"> or </w:t>
      </w:r>
      <w:r>
        <w:rPr>
          <w:b/>
          <w:i w:val="0"/>
          <w:smallCaps w:val="0"/>
          <w:strike w:val="0"/>
          <w:sz w:val="22"/>
          <w:highlight w:val="cyan"/>
          <w:u w:val="single"/>
        </w:rPr>
        <w:t>trademark</w:t>
      </w:r>
      <w:r>
        <w:rPr>
          <w:b/>
          <w:i w:val="0"/>
          <w:smallCaps w:val="0"/>
          <w:strike w:val="0"/>
          <w:sz w:val="22"/>
          <w:u w:val="single"/>
        </w:rPr>
        <w:t xml:space="preserve"> </w:t>
      </w:r>
      <w:r>
        <w:rPr>
          <w:b/>
          <w:i w:val="0"/>
          <w:smallCaps w:val="0"/>
          <w:strike w:val="0"/>
          <w:sz w:val="22"/>
          <w:highlight w:val="cyan"/>
          <w:u w:val="single"/>
        </w:rPr>
        <w:t>case</w:t>
      </w:r>
      <w:r>
        <w:rPr>
          <w:b w:val="0"/>
          <w:i w:val="0"/>
          <w:smallCaps w:val="0"/>
          <w:strike w:val="0"/>
          <w:sz w:val="22"/>
          <w:highlight w:val="cyan"/>
          <w:u w:val="single"/>
        </w:rPr>
        <w:t xml:space="preserve"> was </w:t>
      </w:r>
      <w:r>
        <w:rPr>
          <w:b/>
          <w:i w:val="0"/>
          <w:smallCaps w:val="0"/>
          <w:strike w:val="0"/>
          <w:sz w:val="22"/>
          <w:highlight w:val="cyan"/>
          <w:u w:val="single"/>
        </w:rPr>
        <w:t>simple</w:t>
      </w:r>
      <w:r>
        <w:rPr>
          <w:b w:val="0"/>
          <w:i w:val="0"/>
          <w:smallCaps w:val="0"/>
          <w:strike w:val="0"/>
          <w:sz w:val="16"/>
          <w:highlight w:val="cyan"/>
          <w:u w:val="none"/>
        </w:rPr>
        <w:t xml:space="preserve">: </w:t>
      </w:r>
      <w:r>
        <w:rPr>
          <w:b w:val="0"/>
          <w:i w:val="0"/>
          <w:smallCaps w:val="0"/>
          <w:strike w:val="0"/>
          <w:sz w:val="22"/>
          <w:highlight w:val="cyan"/>
          <w:u w:val="single"/>
        </w:rPr>
        <w:t>Show</w:t>
      </w:r>
      <w:r>
        <w:rPr>
          <w:b w:val="0"/>
          <w:i w:val="0"/>
          <w:smallCaps w:val="0"/>
          <w:strike w:val="0"/>
          <w:sz w:val="22"/>
          <w:u w:val="single"/>
        </w:rPr>
        <w:t xml:space="preserve"> </w:t>
      </w:r>
      <w:r>
        <w:rPr>
          <w:b w:val="0"/>
          <w:i w:val="0"/>
          <w:smallCaps w:val="0"/>
          <w:strike w:val="0"/>
          <w:sz w:val="22"/>
          <w:highlight w:val="cyan"/>
          <w:u w:val="single"/>
        </w:rPr>
        <w:t>success</w:t>
      </w:r>
      <w:r>
        <w:rPr>
          <w:b w:val="0"/>
          <w:i w:val="0"/>
          <w:smallCaps w:val="0"/>
          <w:strike w:val="0"/>
          <w:sz w:val="22"/>
          <w:u w:val="single"/>
        </w:rPr>
        <w:t xml:space="preserve"> on the merits</w:t>
      </w:r>
      <w:r>
        <w:rPr>
          <w:b w:val="0"/>
          <w:i w:val="0"/>
          <w:smallCaps w:val="0"/>
          <w:strike w:val="0"/>
          <w:sz w:val="16"/>
          <w:u w:val="none"/>
        </w:rPr>
        <w:t xml:space="preserve"> (or likely success on the merits, at the preliminary injunction stage), </w:t>
      </w:r>
      <w:r>
        <w:rPr>
          <w:b w:val="0"/>
          <w:i w:val="0"/>
          <w:smallCaps w:val="0"/>
          <w:strike w:val="0"/>
          <w:sz w:val="22"/>
          <w:u w:val="single"/>
        </w:rPr>
        <w:t>and injunctive relief was usually automatically yours</w:t>
      </w:r>
      <w:r>
        <w:rPr>
          <w:b w:val="0"/>
          <w:i w:val="0"/>
          <w:smallCaps w:val="0"/>
          <w:strike w:val="0"/>
          <w:sz w:val="16"/>
          <w:u w:val="none"/>
        </w:rPr>
        <w:t xml:space="preserve">. Then, </w:t>
      </w:r>
      <w:r>
        <w:rPr>
          <w:b w:val="0"/>
          <w:i w:val="0"/>
          <w:smallCaps w:val="0"/>
          <w:strike w:val="0"/>
          <w:sz w:val="22"/>
          <w:u w:val="single"/>
        </w:rPr>
        <w:t>in</w:t>
      </w:r>
      <w:r>
        <w:rPr>
          <w:b w:val="0"/>
          <w:i w:val="0"/>
          <w:smallCaps w:val="0"/>
          <w:strike w:val="0"/>
          <w:sz w:val="16"/>
          <w:u w:val="none"/>
        </w:rPr>
        <w:t xml:space="preserve"> </w:t>
      </w:r>
      <w:r>
        <w:rPr>
          <w:b w:val="0"/>
          <w:i w:val="0"/>
          <w:smallCaps w:val="0"/>
          <w:strike w:val="0"/>
          <w:sz w:val="22"/>
          <w:u w:val="single"/>
        </w:rPr>
        <w:t>2006</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U.S. Supreme </w:t>
      </w:r>
      <w:r>
        <w:rPr>
          <w:b w:val="0"/>
          <w:i w:val="0"/>
          <w:smallCaps w:val="0"/>
          <w:strike w:val="0"/>
          <w:sz w:val="22"/>
          <w:highlight w:val="cyan"/>
          <w:u w:val="single"/>
        </w:rPr>
        <w:t>Court</w:t>
      </w:r>
      <w:r>
        <w:rPr>
          <w:b w:val="0"/>
          <w:i w:val="0"/>
          <w:smallCaps w:val="0"/>
          <w:strike w:val="0"/>
          <w:sz w:val="16"/>
          <w:u w:val="none"/>
        </w:rPr>
        <w:t xml:space="preserve"> </w:t>
      </w:r>
      <w:r>
        <w:rPr>
          <w:b w:val="0"/>
          <w:i w:val="0"/>
          <w:smallCaps w:val="0"/>
          <w:strike w:val="0"/>
          <w:sz w:val="22"/>
          <w:highlight w:val="cyan"/>
          <w:u w:val="single"/>
        </w:rPr>
        <w:t>issued</w:t>
      </w:r>
      <w:r>
        <w:rPr>
          <w:b w:val="0"/>
          <w:i w:val="0"/>
          <w:smallCaps w:val="0"/>
          <w:strike w:val="0"/>
          <w:sz w:val="16"/>
          <w:u w:val="none"/>
        </w:rPr>
        <w:t xml:space="preserve"> a ruling in a patent case called </w:t>
      </w:r>
      <w:r>
        <w:rPr>
          <w:b w:val="0"/>
          <w:i w:val="0"/>
          <w:smallCaps w:val="0"/>
          <w:strike w:val="0"/>
          <w:sz w:val="22"/>
          <w:highlight w:val="cyan"/>
          <w:u w:val="single"/>
        </w:rPr>
        <w:t>eBay</w:t>
      </w:r>
      <w:r>
        <w:rPr>
          <w:b w:val="0"/>
          <w:i w:val="0"/>
          <w:smallCaps w:val="0"/>
          <w:strike w:val="0"/>
          <w:sz w:val="16"/>
          <w:u w:val="none"/>
        </w:rPr>
        <w:t xml:space="preserve"> Inc. v. MercExchange LLC, </w:t>
      </w:r>
      <w:r>
        <w:rPr>
          <w:b w:val="0"/>
          <w:i w:val="0"/>
          <w:smallCaps w:val="0"/>
          <w:strike w:val="0"/>
          <w:sz w:val="22"/>
          <w:u w:val="single"/>
        </w:rPr>
        <w:t xml:space="preserve">which </w:t>
      </w:r>
      <w:r>
        <w:rPr>
          <w:b/>
          <w:i w:val="0"/>
          <w:smallCaps w:val="0"/>
          <w:strike w:val="0"/>
          <w:sz w:val="22"/>
          <w:highlight w:val="cyan"/>
          <w:u w:val="single"/>
        </w:rPr>
        <w:t>upended the standard</w:t>
      </w:r>
      <w:r>
        <w:rPr>
          <w:b w:val="0"/>
          <w:i w:val="0"/>
          <w:smallCaps w:val="0"/>
          <w:strike w:val="0"/>
          <w:sz w:val="22"/>
          <w:highlight w:val="cyan"/>
          <w:u w:val="single"/>
        </w:rPr>
        <w:t xml:space="preserve"> for</w:t>
      </w:r>
      <w:r>
        <w:rPr>
          <w:b w:val="0"/>
          <w:i w:val="0"/>
          <w:smallCaps w:val="0"/>
          <w:strike w:val="0"/>
          <w:sz w:val="22"/>
          <w:u w:val="single"/>
        </w:rPr>
        <w:t xml:space="preserve"> </w:t>
      </w:r>
      <w:r>
        <w:rPr>
          <w:b/>
          <w:i w:val="0"/>
          <w:smallCaps w:val="0"/>
          <w:strike w:val="0"/>
          <w:sz w:val="22"/>
          <w:highlight w:val="cyan"/>
          <w:u w:val="single"/>
        </w:rPr>
        <w:t>obtaining injunctive relief</w:t>
      </w:r>
      <w:r>
        <w:rPr>
          <w:b w:val="0"/>
          <w:i w:val="0"/>
          <w:smallCaps w:val="0"/>
          <w:strike w:val="0"/>
          <w:sz w:val="22"/>
          <w:highlight w:val="cyan"/>
          <w:u w:val="single"/>
        </w:rPr>
        <w:t xml:space="preserve"> in pa</w:t>
      </w:r>
      <w:r>
        <w:rPr>
          <w:b/>
          <w:i w:val="0"/>
          <w:smallCaps w:val="0"/>
          <w:strike w:val="0"/>
          <w:sz w:val="22"/>
          <w:highlight w:val="cyan"/>
          <w:u w:val="single"/>
        </w:rPr>
        <w:t>tent</w:t>
      </w:r>
      <w:r>
        <w:rPr>
          <w:b/>
          <w:i w:val="0"/>
          <w:smallCaps w:val="0"/>
          <w:strike w:val="0"/>
          <w:sz w:val="22"/>
          <w:u w:val="single"/>
        </w:rPr>
        <w:t xml:space="preserve"> </w:t>
      </w:r>
      <w:r>
        <w:rPr>
          <w:b/>
          <w:i w:val="0"/>
          <w:smallCaps w:val="0"/>
          <w:strike w:val="0"/>
          <w:sz w:val="22"/>
          <w:highlight w:val="cyan"/>
          <w:u w:val="single"/>
        </w:rPr>
        <w:t>cases</w:t>
      </w:r>
      <w:r>
        <w:rPr>
          <w:b w:val="0"/>
          <w:i w:val="0"/>
          <w:smallCaps w:val="0"/>
          <w:strike w:val="0"/>
          <w:sz w:val="16"/>
          <w:u w:val="none"/>
        </w:rPr>
        <w:t xml:space="preserve">. Around 2010, </w:t>
      </w:r>
      <w:r>
        <w:rPr>
          <w:b w:val="0"/>
          <w:i w:val="0"/>
          <w:smallCaps w:val="0"/>
          <w:strike w:val="0"/>
          <w:sz w:val="22"/>
          <w:u w:val="single"/>
        </w:rPr>
        <w:t>appellate courts began to apply eBay to copyright cases</w:t>
      </w:r>
      <w:r>
        <w:rPr>
          <w:b w:val="0"/>
          <w:i w:val="0"/>
          <w:smallCaps w:val="0"/>
          <w:strike w:val="0"/>
          <w:sz w:val="16"/>
          <w:u w:val="none"/>
        </w:rPr>
        <w:t xml:space="preserve">; </w:t>
      </w:r>
      <w:r>
        <w:rPr>
          <w:b w:val="0"/>
          <w:i w:val="0"/>
          <w:smallCaps w:val="0"/>
          <w:strike w:val="0"/>
          <w:sz w:val="22"/>
          <w:u w:val="single"/>
        </w:rPr>
        <w:t>the past few months have seen the first instances of appellate courts’ application of eBay to cases under the Lanham Act</w:t>
      </w:r>
      <w:r>
        <w:rPr>
          <w:b w:val="0"/>
          <w:i w:val="0"/>
          <w:smallCaps w:val="0"/>
          <w:strike w:val="0"/>
          <w:sz w:val="16"/>
          <w:u w:val="none"/>
        </w:rPr>
        <w:t>.</w:t>
      </w:r>
    </w:p>
    <w:p>
      <w:pPr>
        <w:spacing w:after="60"/>
      </w:pPr>
      <w:r>
        <w:rPr>
          <w:b w:val="0"/>
          <w:i w:val="0"/>
          <w:smallCaps w:val="0"/>
          <w:strike w:val="0"/>
          <w:sz w:val="22"/>
          <w:u w:val="single"/>
        </w:rPr>
        <w:t xml:space="preserve">The change in the injunction </w:t>
      </w:r>
      <w:r>
        <w:rPr>
          <w:b w:val="0"/>
          <w:i w:val="0"/>
          <w:smallCaps w:val="0"/>
          <w:strike w:val="0"/>
          <w:sz w:val="22"/>
          <w:highlight w:val="cyan"/>
          <w:u w:val="single"/>
        </w:rPr>
        <w:t>standard</w:t>
      </w:r>
      <w:r>
        <w:rPr>
          <w:b w:val="0"/>
          <w:i w:val="0"/>
          <w:smallCaps w:val="0"/>
          <w:strike w:val="0"/>
          <w:sz w:val="22"/>
          <w:u w:val="single"/>
        </w:rPr>
        <w:t xml:space="preserve"> has </w:t>
      </w:r>
      <w:r>
        <w:rPr>
          <w:b w:val="0"/>
          <w:i w:val="0"/>
          <w:smallCaps w:val="0"/>
          <w:strike w:val="0"/>
          <w:sz w:val="22"/>
          <w:highlight w:val="cyan"/>
          <w:u w:val="single"/>
        </w:rPr>
        <w:t xml:space="preserve">had a </w:t>
      </w:r>
      <w:r>
        <w:rPr>
          <w:b/>
          <w:i w:val="0"/>
          <w:smallCaps w:val="0"/>
          <w:strike w:val="0"/>
          <w:sz w:val="22"/>
          <w:highlight w:val="cyan"/>
          <w:u w:val="single"/>
        </w:rPr>
        <w:t>significant impact</w:t>
      </w:r>
      <w:r>
        <w:rPr>
          <w:b w:val="0"/>
          <w:i w:val="0"/>
          <w:smallCaps w:val="0"/>
          <w:strike w:val="0"/>
          <w:sz w:val="22"/>
          <w:u w:val="single"/>
        </w:rPr>
        <w:t xml:space="preserve"> on </w:t>
      </w:r>
      <w:r>
        <w:rPr>
          <w:b w:val="0"/>
          <w:i w:val="0"/>
          <w:smallCaps w:val="0"/>
          <w:strike w:val="0"/>
          <w:sz w:val="22"/>
          <w:highlight w:val="cyan"/>
          <w:u w:val="single"/>
        </w:rPr>
        <w:t xml:space="preserve">the </w:t>
      </w:r>
      <w:r>
        <w:rPr>
          <w:b/>
          <w:i w:val="0"/>
          <w:smallCaps w:val="0"/>
          <w:strike w:val="0"/>
          <w:sz w:val="22"/>
          <w:highlight w:val="cyan"/>
          <w:u w:val="single"/>
        </w:rPr>
        <w:t>way copyright</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highlight w:val="cyan"/>
          <w:u w:val="single"/>
        </w:rPr>
        <w:t>trademark</w:t>
      </w:r>
      <w:r>
        <w:rPr>
          <w:b w:val="0"/>
          <w:i w:val="0"/>
          <w:smallCaps w:val="0"/>
          <w:strike w:val="0"/>
          <w:sz w:val="22"/>
          <w:highlight w:val="cyan"/>
          <w:u w:val="single"/>
        </w:rPr>
        <w:t xml:space="preserve"> </w:t>
      </w:r>
      <w:r>
        <w:rPr>
          <w:b/>
          <w:i w:val="0"/>
          <w:smallCaps w:val="0"/>
          <w:strike w:val="0"/>
          <w:sz w:val="22"/>
          <w:highlight w:val="cyan"/>
          <w:u w:val="single"/>
        </w:rPr>
        <w:t>plaintiffs</w:t>
      </w:r>
      <w:r>
        <w:rPr>
          <w:b w:val="0"/>
          <w:i w:val="0"/>
          <w:smallCaps w:val="0"/>
          <w:strike w:val="0"/>
          <w:sz w:val="22"/>
          <w:u w:val="single"/>
        </w:rPr>
        <w:t xml:space="preserve"> </w:t>
      </w:r>
      <w:r>
        <w:rPr>
          <w:b w:val="0"/>
          <w:i w:val="0"/>
          <w:smallCaps w:val="0"/>
          <w:strike w:val="0"/>
          <w:sz w:val="22"/>
          <w:highlight w:val="cyan"/>
          <w:u w:val="single"/>
        </w:rPr>
        <w:t>do</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should </w:t>
      </w:r>
      <w:r>
        <w:rPr>
          <w:b/>
          <w:i w:val="0"/>
          <w:smallCaps w:val="0"/>
          <w:strike w:val="0"/>
          <w:sz w:val="22"/>
          <w:highlight w:val="cyan"/>
          <w:u w:val="single"/>
        </w:rPr>
        <w:t>prepare</w:t>
      </w:r>
      <w:r>
        <w:rPr>
          <w:b w:val="0"/>
          <w:i w:val="0"/>
          <w:smallCaps w:val="0"/>
          <w:strike w:val="0"/>
          <w:sz w:val="22"/>
          <w:highlight w:val="cyan"/>
          <w:u w:val="single"/>
        </w:rPr>
        <w:t xml:space="preserve"> their </w:t>
      </w:r>
      <w:r>
        <w:rPr>
          <w:b/>
          <w:i w:val="0"/>
          <w:smallCaps w:val="0"/>
          <w:strike w:val="0"/>
          <w:sz w:val="22"/>
          <w:highlight w:val="cyan"/>
          <w:u w:val="single"/>
        </w:rPr>
        <w:t>cases</w:t>
      </w:r>
      <w:r>
        <w:rPr>
          <w:b w:val="0"/>
          <w:i w:val="0"/>
          <w:smallCaps w:val="0"/>
          <w:strike w:val="0"/>
          <w:sz w:val="22"/>
          <w:highlight w:val="cyan"/>
          <w:u w:val="single"/>
        </w:rPr>
        <w:t xml:space="preserve"> for </w:t>
      </w:r>
      <w:r>
        <w:rPr>
          <w:b/>
          <w:i w:val="0"/>
          <w:smallCaps w:val="0"/>
          <w:strike w:val="0"/>
          <w:sz w:val="22"/>
          <w:highlight w:val="cyan"/>
          <w:u w:val="single"/>
        </w:rPr>
        <w:t>seeking injunctions</w:t>
      </w:r>
      <w:r>
        <w:rPr>
          <w:b w:val="0"/>
          <w:i w:val="0"/>
          <w:smallCaps w:val="0"/>
          <w:strike w:val="0"/>
          <w:sz w:val="16"/>
          <w:u w:val="none"/>
        </w:rPr>
        <w:t xml:space="preserve">, and </w:t>
      </w:r>
      <w:r>
        <w:rPr>
          <w:b w:val="0"/>
          <w:i w:val="0"/>
          <w:smallCaps w:val="0"/>
          <w:strike w:val="0"/>
          <w:sz w:val="22"/>
          <w:u w:val="single"/>
        </w:rPr>
        <w:t>it provides new angles for defendants looking to oppose injunctive relief</w:t>
      </w:r>
      <w:r>
        <w:rPr>
          <w:b w:val="0"/>
          <w:i w:val="0"/>
          <w:smallCaps w:val="0"/>
          <w:strike w:val="0"/>
          <w:sz w:val="16"/>
          <w:u w:val="none"/>
        </w:rPr>
        <w:t xml:space="preserve">. If the trend in copyright law is any indicator, the forecast for 2015 shows expansion of the eBay standard in Lanham Act cases. With that in mind, </w:t>
      </w:r>
      <w:r>
        <w:rPr>
          <w:b w:val="0"/>
          <w:i w:val="0"/>
          <w:smallCaps w:val="0"/>
          <w:strike w:val="0"/>
          <w:sz w:val="22"/>
          <w:u w:val="single"/>
        </w:rPr>
        <w:t>this article will navigate the new legal standards and identify some of the types of cases that may not be as amenable to injunctive relief as they were before</w:t>
      </w:r>
      <w:r>
        <w:rPr>
          <w:b w:val="0"/>
          <w:i w:val="0"/>
          <w:smallCaps w:val="0"/>
          <w:strike w:val="0"/>
          <w:sz w:val="16"/>
          <w:u w:val="none"/>
        </w:rPr>
        <w:t>.</w:t>
      </w:r>
    </w:p>
    <w:p>
      <w:pPr>
        <w:spacing w:after="60"/>
      </w:pPr>
      <w:r>
        <w:rPr>
          <w:b w:val="0"/>
          <w:i w:val="0"/>
          <w:smallCaps w:val="0"/>
          <w:strike w:val="0"/>
          <w:sz w:val="22"/>
          <w:u w:val="single"/>
        </w:rPr>
        <w:t>eBay and the Four-Factor Test</w:t>
      </w:r>
    </w:p>
    <w:p>
      <w:pPr>
        <w:spacing w:after="60"/>
      </w:pPr>
      <w:r>
        <w:rPr>
          <w:b w:val="0"/>
          <w:i w:val="0"/>
          <w:smallCaps w:val="0"/>
          <w:strike w:val="0"/>
          <w:sz w:val="16"/>
          <w:u w:val="none"/>
        </w:rPr>
        <w:t xml:space="preserve">In eBay, </w:t>
      </w:r>
      <w:r>
        <w:rPr>
          <w:b w:val="0"/>
          <w:i w:val="0"/>
          <w:smallCaps w:val="0"/>
          <w:strike w:val="0"/>
          <w:sz w:val="22"/>
          <w:u w:val="single"/>
        </w:rPr>
        <w:t>a unanimous Supreme Court rejected the general rule in patent cases that permanent injunctions should be denied only in rare instances to protect the public interest</w:t>
      </w:r>
      <w:r>
        <w:rPr>
          <w:b w:val="0"/>
          <w:i w:val="0"/>
          <w:smallCaps w:val="0"/>
          <w:strike w:val="0"/>
          <w:sz w:val="16"/>
          <w:u w:val="none"/>
        </w:rPr>
        <w:t xml:space="preserve">. Instead, </w:t>
      </w:r>
      <w:r>
        <w:rPr>
          <w:b w:val="0"/>
          <w:i w:val="0"/>
          <w:smallCaps w:val="0"/>
          <w:strike w:val="0"/>
          <w:sz w:val="22"/>
          <w:u w:val="single"/>
        </w:rPr>
        <w:t>a plaintiff should be required to prove more than just likely or actual success on the merits in order to obtain the</w:t>
      </w:r>
      <w:r>
        <w:rPr>
          <w:b w:val="0"/>
          <w:i w:val="0"/>
          <w:smallCaps w:val="0"/>
          <w:strike w:val="0"/>
          <w:sz w:val="16"/>
          <w:u w:val="none"/>
        </w:rPr>
        <w:t xml:space="preserve"> “</w:t>
      </w:r>
      <w:r>
        <w:rPr>
          <w:b/>
          <w:i w:val="0"/>
          <w:smallCaps w:val="0"/>
          <w:strike w:val="0"/>
          <w:sz w:val="22"/>
          <w:u w:val="single"/>
        </w:rPr>
        <w:t>extraordinary remedy</w:t>
      </w:r>
      <w:r>
        <w:rPr>
          <w:b w:val="0"/>
          <w:i w:val="0"/>
          <w:smallCaps w:val="0"/>
          <w:strike w:val="0"/>
          <w:sz w:val="16"/>
          <w:u w:val="none"/>
        </w:rPr>
        <w:t xml:space="preserve">” </w:t>
      </w:r>
      <w:r>
        <w:rPr>
          <w:b w:val="0"/>
          <w:i w:val="0"/>
          <w:smallCaps w:val="0"/>
          <w:strike w:val="0"/>
          <w:sz w:val="22"/>
          <w:u w:val="single"/>
        </w:rPr>
        <w:t>of an injunction</w:t>
      </w:r>
      <w:r>
        <w:rPr>
          <w:b w:val="0"/>
          <w:i w:val="0"/>
          <w:smallCaps w:val="0"/>
          <w:strike w:val="0"/>
          <w:sz w:val="16"/>
          <w:u w:val="none"/>
        </w:rPr>
        <w:t xml:space="preserve"> — </w:t>
      </w:r>
      <w:r>
        <w:rPr>
          <w:b w:val="0"/>
          <w:i w:val="0"/>
          <w:smallCaps w:val="0"/>
          <w:strike w:val="0"/>
          <w:sz w:val="22"/>
          <w:u w:val="single"/>
        </w:rPr>
        <w:t>it</w:t>
      </w:r>
      <w:r>
        <w:rPr>
          <w:b w:val="0"/>
          <w:i w:val="0"/>
          <w:smallCaps w:val="0"/>
          <w:strike w:val="0"/>
          <w:sz w:val="16"/>
          <w:u w:val="none"/>
        </w:rPr>
        <w:t xml:space="preserve"> also </w:t>
      </w:r>
      <w:r>
        <w:rPr>
          <w:b w:val="0"/>
          <w:i w:val="0"/>
          <w:smallCaps w:val="0"/>
          <w:strike w:val="0"/>
          <w:sz w:val="22"/>
          <w:u w:val="single"/>
        </w:rPr>
        <w:t>would need to show three extra factors</w:t>
      </w:r>
      <w:r>
        <w:rPr>
          <w:b w:val="0"/>
          <w:i w:val="0"/>
          <w:smallCaps w:val="0"/>
          <w:strike w:val="0"/>
          <w:sz w:val="16"/>
          <w:u w:val="none"/>
        </w:rPr>
        <w:t xml:space="preserve">: </w:t>
      </w:r>
      <w:r>
        <w:rPr>
          <w:b w:val="0"/>
          <w:i w:val="0"/>
          <w:smallCaps w:val="0"/>
          <w:strike w:val="0"/>
          <w:sz w:val="22"/>
          <w:u w:val="single"/>
        </w:rPr>
        <w:t>the plaintiff suffered an irreparable injury for which money damages would not be adequate</w:t>
      </w:r>
      <w:r>
        <w:rPr>
          <w:b w:val="0"/>
          <w:i w:val="0"/>
          <w:smallCaps w:val="0"/>
          <w:strike w:val="0"/>
          <w:sz w:val="16"/>
          <w:u w:val="none"/>
        </w:rPr>
        <w:t xml:space="preserve">; </w:t>
      </w:r>
      <w:r>
        <w:rPr>
          <w:b w:val="0"/>
          <w:i w:val="0"/>
          <w:smallCaps w:val="0"/>
          <w:strike w:val="0"/>
          <w:sz w:val="22"/>
          <w:u w:val="single"/>
        </w:rPr>
        <w:t>the balance of the hardships among the parties tips in favor of issuing the injunction</w:t>
      </w:r>
      <w:r>
        <w:rPr>
          <w:b w:val="0"/>
          <w:i w:val="0"/>
          <w:smallCaps w:val="0"/>
          <w:strike w:val="0"/>
          <w:sz w:val="16"/>
          <w:u w:val="none"/>
        </w:rPr>
        <w:t xml:space="preserve">; </w:t>
      </w:r>
      <w:r>
        <w:rPr>
          <w:b w:val="0"/>
          <w:i w:val="0"/>
          <w:smallCaps w:val="0"/>
          <w:strike w:val="0"/>
          <w:sz w:val="22"/>
          <w:u w:val="single"/>
        </w:rPr>
        <w:t>and the public interest would not be disserved by an injunction</w:t>
      </w:r>
      <w:r>
        <w:rPr>
          <w:b w:val="0"/>
          <w:i w:val="0"/>
          <w:smallCaps w:val="0"/>
          <w:strike w:val="0"/>
          <w:sz w:val="16"/>
          <w:u w:val="none"/>
        </w:rPr>
        <w:t>. Two years later, the court extended the standard to preliminary injunctions in Winter v. Natural Resources Defense Council, making the four-factor test applicable to injunctions at any stage of the case.</w:t>
      </w:r>
    </w:p>
    <w:p>
      <w:pPr>
        <w:spacing w:after="60"/>
      </w:pPr>
      <w:r>
        <w:rPr>
          <w:b w:val="0"/>
          <w:i w:val="0"/>
          <w:smallCaps w:val="0"/>
          <w:strike w:val="0"/>
          <w:sz w:val="16"/>
          <w:u w:val="none"/>
        </w:rPr>
        <w:t xml:space="preserve">For a while, </w:t>
      </w:r>
      <w:r>
        <w:rPr>
          <w:b w:val="0"/>
          <w:i w:val="0"/>
          <w:smallCaps w:val="0"/>
          <w:strike w:val="0"/>
          <w:sz w:val="22"/>
          <w:highlight w:val="cyan"/>
          <w:u w:val="single"/>
        </w:rPr>
        <w:t>litigants</w:t>
      </w:r>
      <w:r>
        <w:rPr>
          <w:b w:val="0"/>
          <w:i w:val="0"/>
          <w:smallCaps w:val="0"/>
          <w:strike w:val="0"/>
          <w:sz w:val="22"/>
          <w:u w:val="single"/>
        </w:rPr>
        <w:t xml:space="preserve"> in copyright and trademark cases </w:t>
      </w:r>
      <w:r>
        <w:rPr>
          <w:b/>
          <w:i w:val="0"/>
          <w:smallCaps w:val="0"/>
          <w:strike w:val="0"/>
          <w:sz w:val="22"/>
          <w:highlight w:val="cyan"/>
          <w:u w:val="single"/>
        </w:rPr>
        <w:t>appeared</w:t>
      </w:r>
      <w:r>
        <w:rPr>
          <w:b/>
          <w:i w:val="0"/>
          <w:smallCaps w:val="0"/>
          <w:strike w:val="0"/>
          <w:sz w:val="22"/>
          <w:u w:val="single"/>
        </w:rPr>
        <w:t xml:space="preserve"> </w:t>
      </w:r>
      <w:r>
        <w:rPr>
          <w:b/>
          <w:i w:val="0"/>
          <w:smallCaps w:val="0"/>
          <w:strike w:val="0"/>
          <w:sz w:val="22"/>
          <w:highlight w:val="cyan"/>
          <w:u w:val="single"/>
        </w:rPr>
        <w:t>to disregard the four-factor test</w:t>
      </w:r>
      <w:r>
        <w:rPr>
          <w:b w:val="0"/>
          <w:i w:val="0"/>
          <w:smallCaps w:val="0"/>
          <w:strike w:val="0"/>
          <w:sz w:val="16"/>
          <w:u w:val="none"/>
        </w:rPr>
        <w:t xml:space="preserve">, and </w:t>
      </w:r>
      <w:r>
        <w:rPr>
          <w:b w:val="0"/>
          <w:i w:val="0"/>
          <w:smallCaps w:val="0"/>
          <w:strike w:val="0"/>
          <w:sz w:val="22"/>
          <w:u w:val="single"/>
        </w:rPr>
        <w:t>apart from a handful of district courts</w:t>
      </w:r>
      <w:r>
        <w:rPr>
          <w:b w:val="0"/>
          <w:i w:val="0"/>
          <w:smallCaps w:val="0"/>
          <w:strike w:val="0"/>
          <w:sz w:val="16"/>
          <w:u w:val="none"/>
        </w:rPr>
        <w:t xml:space="preserve">, </w:t>
      </w:r>
      <w:r>
        <w:rPr>
          <w:b w:val="0"/>
          <w:i w:val="0"/>
          <w:smallCaps w:val="0"/>
          <w:strike w:val="0"/>
          <w:sz w:val="22"/>
          <w:highlight w:val="cyan"/>
          <w:u w:val="single"/>
        </w:rPr>
        <w:t>judges</w:t>
      </w:r>
      <w:r>
        <w:rPr>
          <w:b w:val="0"/>
          <w:i w:val="0"/>
          <w:smallCaps w:val="0"/>
          <w:strike w:val="0"/>
          <w:sz w:val="16"/>
          <w:u w:val="none"/>
        </w:rPr>
        <w:t xml:space="preserve"> </w:t>
      </w:r>
      <w:r>
        <w:rPr>
          <w:b w:val="0"/>
          <w:i w:val="0"/>
          <w:smallCaps w:val="0"/>
          <w:strike w:val="0"/>
          <w:sz w:val="22"/>
          <w:u w:val="single"/>
        </w:rPr>
        <w:t xml:space="preserve">appeared to </w:t>
      </w:r>
      <w:r>
        <w:rPr>
          <w:b/>
          <w:i w:val="0"/>
          <w:smallCaps w:val="0"/>
          <w:strike w:val="0"/>
          <w:sz w:val="22"/>
          <w:highlight w:val="cyan"/>
          <w:u w:val="single"/>
        </w:rPr>
        <w:t>disregard the test</w:t>
      </w:r>
      <w:r>
        <w:rPr>
          <w:b w:val="0"/>
          <w:i w:val="0"/>
          <w:smallCaps w:val="0"/>
          <w:strike w:val="0"/>
          <w:sz w:val="16"/>
          <w:highlight w:val="cyan"/>
          <w:u w:val="none"/>
        </w:rPr>
        <w:t xml:space="preserve">, </w:t>
      </w:r>
      <w:r>
        <w:rPr>
          <w:b/>
          <w:i w:val="0"/>
          <w:smallCaps w:val="0"/>
          <w:strike w:val="0"/>
          <w:sz w:val="22"/>
          <w:highlight w:val="cyan"/>
          <w:u w:val="single"/>
        </w:rPr>
        <w:t>too</w:t>
      </w:r>
      <w:r>
        <w:rPr>
          <w:b w:val="0"/>
          <w:i w:val="0"/>
          <w:smallCaps w:val="0"/>
          <w:strike w:val="0"/>
          <w:sz w:val="16"/>
          <w:highlight w:val="cyan"/>
          <w:u w:val="none"/>
        </w:rPr>
        <w:t>.</w:t>
      </w:r>
      <w:r>
        <w:rPr>
          <w:b w:val="0"/>
          <w:i w:val="0"/>
          <w:smallCaps w:val="0"/>
          <w:strike w:val="0"/>
          <w:sz w:val="16"/>
          <w:u w:val="none"/>
        </w:rPr>
        <w:t xml:space="preserve"> But in 2010, in a case involving an unauthorized sequel to J.D. Salinger’s “Catcher in the Rye,” the Second Circuit held that the district court erred in issuing an injunction against the sequel without first considering the eBay factors. The next year, the Ninth Circuit applied eBay to affirm the denial of a preliminary injunction where the copyright owner failed to show a sufficient connection between the injury to its business and the infringement at issue. As of today, </w:t>
      </w:r>
      <w:r>
        <w:rPr>
          <w:b w:val="0"/>
          <w:i w:val="0"/>
          <w:smallCaps w:val="0"/>
          <w:strike w:val="0"/>
          <w:sz w:val="22"/>
          <w:u w:val="single"/>
        </w:rPr>
        <w:t>nearly all appellate courts have extended eBay and Winter to copyright infringement actions.</w:t>
      </w:r>
    </w:p>
    <w:p>
      <w:pPr>
        <w:spacing w:after="60"/>
      </w:pPr>
      <w:r>
        <w:rPr>
          <w:b/>
          <w:i w:val="0"/>
          <w:smallCaps w:val="0"/>
          <w:strike w:val="0"/>
          <w:sz w:val="22"/>
          <w:u w:val="single"/>
        </w:rPr>
        <w:t>The</w:t>
      </w:r>
      <w:r>
        <w:rPr>
          <w:b w:val="0"/>
          <w:i w:val="0"/>
          <w:smallCaps w:val="0"/>
          <w:strike w:val="0"/>
          <w:sz w:val="22"/>
          <w:u w:val="single"/>
        </w:rPr>
        <w:t xml:space="preserve"> </w:t>
      </w:r>
      <w:r>
        <w:rPr>
          <w:b/>
          <w:i w:val="0"/>
          <w:smallCaps w:val="0"/>
          <w:strike w:val="0"/>
          <w:sz w:val="22"/>
          <w:highlight w:val="cyan"/>
          <w:u w:val="single"/>
        </w:rPr>
        <w:t>shift</w:t>
      </w:r>
      <w:r>
        <w:rPr>
          <w:b w:val="0"/>
          <w:i w:val="0"/>
          <w:smallCaps w:val="0"/>
          <w:strike w:val="0"/>
          <w:sz w:val="22"/>
          <w:highlight w:val="cyan"/>
          <w:u w:val="single"/>
        </w:rPr>
        <w:t xml:space="preserve"> </w:t>
      </w:r>
      <w:r>
        <w:rPr>
          <w:b/>
          <w:i w:val="0"/>
          <w:smallCaps w:val="0"/>
          <w:strike w:val="0"/>
          <w:sz w:val="22"/>
          <w:highlight w:val="cyan"/>
          <w:u w:val="single"/>
        </w:rPr>
        <w:t>did not appear to be happening</w:t>
      </w:r>
      <w:r>
        <w:rPr>
          <w:b w:val="0"/>
          <w:i w:val="0"/>
          <w:smallCaps w:val="0"/>
          <w:strike w:val="0"/>
          <w:sz w:val="22"/>
          <w:u w:val="single"/>
        </w:rPr>
        <w:t xml:space="preserve"> in any significant way in trademark cases until last </w:t>
      </w:r>
      <w:r>
        <w:rPr>
          <w:b w:val="0"/>
          <w:i w:val="0"/>
          <w:smallCaps w:val="0"/>
          <w:strike w:val="0"/>
          <w:sz w:val="16"/>
          <w:u w:val="none"/>
        </w:rPr>
        <w:t xml:space="preserve">year, when the Ninth Circuit, in the Herb Reed Enterprises case, applied eBay in reversing a district court’s preliminary injunction against the use of the trademark “The Platters.” Strong amicus support accompanied the petition for certiorari, but the U.S. Supreme Court declined earlier this year to take the case. Since then, the Third Circuit has expressly extended eBay to a Lanham Act case, </w:t>
      </w:r>
      <w:r>
        <w:rPr>
          <w:b w:val="0"/>
          <w:i w:val="0"/>
          <w:smallCaps w:val="0"/>
          <w:strike w:val="0"/>
          <w:sz w:val="22"/>
          <w:u w:val="single"/>
        </w:rPr>
        <w:t>expressly agreeing with the rationale in Herb Reed</w:t>
      </w:r>
      <w:r>
        <w:rPr>
          <w:b w:val="0"/>
          <w:i w:val="0"/>
          <w:smallCaps w:val="0"/>
          <w:strike w:val="0"/>
          <w:sz w:val="16"/>
          <w:u w:val="none"/>
        </w:rPr>
        <w:t>, while other circuits, including the First and Eleventh, have ducked the issue.</w:t>
      </w:r>
    </w:p>
    <w:p>
      <w:pPr>
        <w:spacing w:after="60"/>
      </w:pPr>
      <w:r>
        <w:rPr>
          <w:b w:val="0"/>
          <w:i w:val="0"/>
          <w:smallCaps w:val="0"/>
          <w:strike w:val="0"/>
          <w:sz w:val="16"/>
          <w:u w:val="none"/>
        </w:rPr>
        <w:t xml:space="preserve">Nonetheless, </w:t>
      </w:r>
      <w:r>
        <w:rPr>
          <w:b w:val="0"/>
          <w:i w:val="0"/>
          <w:smallCaps w:val="0"/>
          <w:strike w:val="0"/>
          <w:sz w:val="22"/>
          <w:u w:val="single"/>
        </w:rPr>
        <w:t xml:space="preserve">the denial of certiorari means that courts are quite likely to continue to follow the path set by Herb Reed </w:t>
      </w:r>
      <w:r>
        <w:rPr>
          <w:b w:val="0"/>
          <w:i w:val="0"/>
          <w:smallCaps w:val="0"/>
          <w:strike w:val="0"/>
          <w:sz w:val="16"/>
          <w:u w:val="none"/>
        </w:rPr>
        <w:t xml:space="preserve">— or at least until a circuit split or other cert-worthy situation arises. And even if it does, there are no </w:t>
      </w:r>
      <w:r>
        <w:rPr>
          <w:b w:val="0"/>
          <w:i w:val="0"/>
          <w:smallCaps w:val="0"/>
          <w:strike w:val="0"/>
          <w:sz w:val="16"/>
          <w:u w:val="none"/>
        </w:rPr>
        <w:t xml:space="preserve">guarantees that the Court would rule any differently than it did in eBay and Winter. Therefore, </w:t>
      </w:r>
      <w:r>
        <w:rPr>
          <w:b w:val="0"/>
          <w:i w:val="0"/>
          <w:smallCaps w:val="0"/>
          <w:strike w:val="0"/>
          <w:sz w:val="22"/>
          <w:u w:val="single"/>
        </w:rPr>
        <w:t>until some certainty arises</w:t>
      </w:r>
      <w:r>
        <w:rPr>
          <w:b w:val="0"/>
          <w:i w:val="0"/>
          <w:smallCaps w:val="0"/>
          <w:strike w:val="0"/>
          <w:sz w:val="16"/>
          <w:u w:val="none"/>
        </w:rPr>
        <w:t xml:space="preserve">, </w:t>
      </w:r>
      <w:r>
        <w:rPr>
          <w:b w:val="0"/>
          <w:i w:val="0"/>
          <w:smallCaps w:val="0"/>
          <w:strike w:val="0"/>
          <w:sz w:val="22"/>
          <w:u w:val="single"/>
        </w:rPr>
        <w:t xml:space="preserve">parties in trademark cases should be </w:t>
      </w:r>
      <w:r>
        <w:rPr>
          <w:b w:val="0"/>
          <w:i w:val="0"/>
          <w:smallCaps w:val="0"/>
          <w:strike w:val="0"/>
          <w:sz w:val="22"/>
          <w:highlight w:val="cyan"/>
          <w:u w:val="single"/>
        </w:rPr>
        <w:t>prepared</w:t>
      </w:r>
      <w:r>
        <w:rPr>
          <w:b w:val="0"/>
          <w:i w:val="0"/>
          <w:smallCaps w:val="0"/>
          <w:strike w:val="0"/>
          <w:sz w:val="22"/>
          <w:u w:val="single"/>
        </w:rPr>
        <w:t xml:space="preserve"> </w:t>
      </w:r>
      <w:r>
        <w:rPr>
          <w:b w:val="0"/>
          <w:i w:val="0"/>
          <w:smallCaps w:val="0"/>
          <w:strike w:val="0"/>
          <w:sz w:val="22"/>
          <w:highlight w:val="cyan"/>
          <w:u w:val="single"/>
        </w:rPr>
        <w:t xml:space="preserve">to show or </w:t>
      </w:r>
      <w:r>
        <w:rPr>
          <w:b/>
          <w:i w:val="0"/>
          <w:smallCaps w:val="0"/>
          <w:strike w:val="0"/>
          <w:sz w:val="22"/>
          <w:highlight w:val="cyan"/>
          <w:u w:val="single"/>
        </w:rPr>
        <w:t>disprove the four factors</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highlight w:val="cyan"/>
          <w:u w:val="none"/>
        </w:rPr>
        <w:t xml:space="preserve"> </w:t>
      </w:r>
      <w:r>
        <w:rPr>
          <w:b/>
          <w:i w:val="0"/>
          <w:smallCaps w:val="0"/>
          <w:strike w:val="0"/>
          <w:sz w:val="22"/>
          <w:highlight w:val="cyan"/>
          <w:u w:val="single"/>
        </w:rPr>
        <w:t>take them into account</w:t>
      </w:r>
      <w:r>
        <w:rPr>
          <w:b w:val="0"/>
          <w:i w:val="0"/>
          <w:smallCaps w:val="0"/>
          <w:strike w:val="0"/>
          <w:sz w:val="22"/>
          <w:highlight w:val="cyan"/>
          <w:u w:val="single"/>
        </w:rPr>
        <w:t xml:space="preserve"> even </w:t>
      </w:r>
      <w:r>
        <w:rPr>
          <w:b/>
          <w:i w:val="0"/>
          <w:smallCaps w:val="0"/>
          <w:strike w:val="0"/>
          <w:sz w:val="22"/>
          <w:highlight w:val="cyan"/>
          <w:u w:val="single"/>
        </w:rPr>
        <w:t>before</w:t>
      </w:r>
      <w:r>
        <w:rPr>
          <w:b/>
          <w:i w:val="0"/>
          <w:smallCaps w:val="0"/>
          <w:strike w:val="0"/>
          <w:sz w:val="22"/>
          <w:u w:val="single"/>
        </w:rPr>
        <w:t xml:space="preserve"> </w:t>
      </w:r>
      <w:r>
        <w:rPr>
          <w:b/>
          <w:i w:val="0"/>
          <w:smallCaps w:val="0"/>
          <w:strike w:val="0"/>
          <w:sz w:val="22"/>
          <w:highlight w:val="cyan"/>
          <w:u w:val="single"/>
        </w:rPr>
        <w:t>formal litigation</w:t>
      </w:r>
      <w:r>
        <w:rPr>
          <w:b w:val="0"/>
          <w:i w:val="0"/>
          <w:smallCaps w:val="0"/>
          <w:strike w:val="0"/>
          <w:sz w:val="22"/>
          <w:highlight w:val="cyan"/>
          <w:u w:val="single"/>
        </w:rPr>
        <w:t xml:space="preserve"> is </w:t>
      </w:r>
      <w:r>
        <w:rPr>
          <w:b/>
          <w:i w:val="0"/>
          <w:smallCaps w:val="0"/>
          <w:strike w:val="0"/>
          <w:sz w:val="22"/>
          <w:highlight w:val="cyan"/>
          <w:u w:val="single"/>
        </w:rPr>
        <w:t>commenced</w:t>
      </w:r>
      <w:r>
        <w:rPr>
          <w:b w:val="0"/>
          <w:i w:val="0"/>
          <w:smallCaps w:val="0"/>
          <w:strike w:val="0"/>
          <w:sz w:val="16"/>
          <w:u w:val="none"/>
        </w:rPr>
        <w:t>.</w:t>
      </w:r>
    </w:p>
    <w:p>
      <w:pPr>
        <w:spacing w:after="60"/>
      </w:pPr>
      <w:r>
        <w:rPr>
          <w:b w:val="0"/>
          <w:i w:val="0"/>
          <w:smallCaps w:val="0"/>
          <w:strike w:val="0"/>
          <w:sz w:val="16"/>
          <w:u w:val="none"/>
        </w:rPr>
        <w:t>How the eBay Factors Apply in Copyright and Trademark Infringement Actions</w:t>
      </w:r>
    </w:p>
    <w:p>
      <w:pPr>
        <w:spacing w:after="60"/>
      </w:pPr>
      <w:r>
        <w:rPr>
          <w:b w:val="0"/>
          <w:i w:val="0"/>
          <w:smallCaps w:val="0"/>
          <w:strike w:val="0"/>
          <w:sz w:val="22"/>
          <w:u w:val="single"/>
        </w:rPr>
        <w:t>With each issued</w:t>
      </w:r>
      <w:r>
        <w:rPr>
          <w:b w:val="0"/>
          <w:i w:val="0"/>
          <w:smallCaps w:val="0"/>
          <w:strike w:val="0"/>
          <w:sz w:val="16"/>
          <w:u w:val="none"/>
        </w:rPr>
        <w:t xml:space="preserve"> </w:t>
      </w:r>
      <w:r>
        <w:rPr>
          <w:b w:val="0"/>
          <w:i w:val="0"/>
          <w:smallCaps w:val="0"/>
          <w:strike w:val="0"/>
          <w:sz w:val="22"/>
          <w:u w:val="single"/>
        </w:rPr>
        <w:t>opinion</w:t>
      </w:r>
      <w:r>
        <w:rPr>
          <w:b w:val="0"/>
          <w:i w:val="0"/>
          <w:smallCaps w:val="0"/>
          <w:strike w:val="0"/>
          <w:sz w:val="16"/>
          <w:u w:val="none"/>
        </w:rPr>
        <w:t xml:space="preserve">, </w:t>
      </w:r>
      <w:r>
        <w:rPr>
          <w:b w:val="0"/>
          <w:i w:val="0"/>
          <w:smallCaps w:val="0"/>
          <w:strike w:val="0"/>
          <w:sz w:val="22"/>
          <w:u w:val="single"/>
        </w:rPr>
        <w:t>we</w:t>
      </w:r>
      <w:r>
        <w:rPr>
          <w:b w:val="0"/>
          <w:i w:val="0"/>
          <w:smallCaps w:val="0"/>
          <w:strike w:val="0"/>
          <w:sz w:val="16"/>
          <w:u w:val="none"/>
        </w:rPr>
        <w:t xml:space="preserve"> have started to </w:t>
      </w:r>
      <w:r>
        <w:rPr>
          <w:b w:val="0"/>
          <w:i w:val="0"/>
          <w:smallCaps w:val="0"/>
          <w:strike w:val="0"/>
          <w:sz w:val="22"/>
          <w:highlight w:val="cyan"/>
          <w:u w:val="single"/>
        </w:rPr>
        <w:t>learn</w:t>
      </w:r>
      <w:r>
        <w:rPr>
          <w:b w:val="0"/>
          <w:i w:val="0"/>
          <w:smallCaps w:val="0"/>
          <w:strike w:val="0"/>
          <w:sz w:val="16"/>
          <w:highlight w:val="cyan"/>
          <w:u w:val="none"/>
        </w:rPr>
        <w:t xml:space="preserve"> </w:t>
      </w:r>
      <w:r>
        <w:rPr>
          <w:b/>
          <w:i w:val="0"/>
          <w:smallCaps w:val="0"/>
          <w:strike w:val="0"/>
          <w:sz w:val="22"/>
          <w:highlight w:val="cyan"/>
          <w:u w:val="single"/>
        </w:rPr>
        <w:t>more</w:t>
      </w:r>
      <w:r>
        <w:rPr>
          <w:b w:val="0"/>
          <w:i w:val="0"/>
          <w:smallCaps w:val="0"/>
          <w:strike w:val="0"/>
          <w:sz w:val="22"/>
          <w:highlight w:val="cyan"/>
          <w:u w:val="single"/>
        </w:rPr>
        <w:t xml:space="preserve"> about what </w:t>
      </w:r>
      <w:r>
        <w:rPr>
          <w:b/>
          <w:i w:val="0"/>
          <w:smallCaps w:val="0"/>
          <w:strike w:val="0"/>
          <w:sz w:val="22"/>
          <w:highlight w:val="cyan"/>
          <w:u w:val="single"/>
        </w:rPr>
        <w:t>each of the three</w:t>
      </w:r>
      <w:r>
        <w:rPr>
          <w:b w:val="0"/>
          <w:i w:val="0"/>
          <w:smallCaps w:val="0"/>
          <w:strike w:val="0"/>
          <w:sz w:val="16"/>
          <w:highlight w:val="cyan"/>
          <w:u w:val="none"/>
        </w:rPr>
        <w:t xml:space="preserve"> “</w:t>
      </w:r>
      <w:r>
        <w:rPr>
          <w:b/>
          <w:i w:val="0"/>
          <w:smallCaps w:val="0"/>
          <w:strike w:val="0"/>
          <w:sz w:val="22"/>
          <w:highlight w:val="cyan"/>
          <w:u w:val="single"/>
        </w:rPr>
        <w:t>new</w:t>
      </w:r>
      <w:r>
        <w:rPr>
          <w:b w:val="0"/>
          <w:i w:val="0"/>
          <w:smallCaps w:val="0"/>
          <w:strike w:val="0"/>
          <w:sz w:val="16"/>
          <w:highlight w:val="cyan"/>
          <w:u w:val="none"/>
        </w:rPr>
        <w:t xml:space="preserve">” </w:t>
      </w:r>
      <w:r>
        <w:rPr>
          <w:b w:val="0"/>
          <w:i w:val="0"/>
          <w:smallCaps w:val="0"/>
          <w:strike w:val="0"/>
          <w:sz w:val="22"/>
          <w:highlight w:val="cyan"/>
          <w:u w:val="single"/>
        </w:rPr>
        <w:t>factors</w:t>
      </w:r>
      <w:r>
        <w:rPr>
          <w:b w:val="0"/>
          <w:i w:val="0"/>
          <w:smallCaps w:val="0"/>
          <w:strike w:val="0"/>
          <w:sz w:val="22"/>
          <w:u w:val="single"/>
        </w:rPr>
        <w:t xml:space="preserve"> means</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what it takes to satisfy them</w:t>
      </w:r>
      <w:r>
        <w:rPr>
          <w:b w:val="0"/>
          <w:i w:val="0"/>
          <w:smallCaps w:val="0"/>
          <w:strike w:val="0"/>
          <w:sz w:val="16"/>
          <w:u w:val="none"/>
        </w:rPr>
        <w:t>.</w:t>
      </w:r>
    </w:p>
    <w:p>
      <w:pPr>
        <w:spacing w:after="60"/>
      </w:pPr>
      <w:r>
        <w:rPr>
          <w:b w:val="0"/>
          <w:i w:val="0"/>
          <w:smallCaps w:val="0"/>
          <w:strike w:val="0"/>
          <w:sz w:val="22"/>
          <w:u w:val="single"/>
        </w:rPr>
        <w:t>In assessing irreparable harm</w:t>
      </w:r>
      <w:r>
        <w:rPr>
          <w:b w:val="0"/>
          <w:i w:val="0"/>
          <w:smallCaps w:val="0"/>
          <w:strike w:val="0"/>
          <w:sz w:val="16"/>
          <w:u w:val="none"/>
        </w:rPr>
        <w:t xml:space="preserve"> in copyright cases, </w:t>
      </w:r>
      <w:r>
        <w:rPr>
          <w:b w:val="0"/>
          <w:i w:val="0"/>
          <w:smallCaps w:val="0"/>
          <w:strike w:val="0"/>
          <w:sz w:val="22"/>
          <w:u w:val="single"/>
        </w:rPr>
        <w:t>courts have found certain types of evidence to be compelling as proof of irreparable harm</w:t>
      </w:r>
      <w:r>
        <w:rPr>
          <w:b w:val="0"/>
          <w:i w:val="0"/>
          <w:smallCaps w:val="0"/>
          <w:strike w:val="0"/>
          <w:sz w:val="16"/>
          <w:u w:val="none"/>
        </w:rPr>
        <w:t xml:space="preserve">, </w:t>
      </w:r>
      <w:r>
        <w:rPr>
          <w:b w:val="0"/>
          <w:i w:val="0"/>
          <w:smallCaps w:val="0"/>
          <w:strike w:val="0"/>
          <w:sz w:val="22"/>
          <w:u w:val="single"/>
        </w:rPr>
        <w:t>including</w:t>
      </w:r>
      <w:r>
        <w:rPr>
          <w:b w:val="0"/>
          <w:i w:val="0"/>
          <w:smallCaps w:val="0"/>
          <w:strike w:val="0"/>
          <w:sz w:val="16"/>
          <w:u w:val="none"/>
        </w:rPr>
        <w:t xml:space="preserve">: a showing that </w:t>
      </w:r>
      <w:r>
        <w:rPr>
          <w:b w:val="0"/>
          <w:i w:val="0"/>
          <w:smallCaps w:val="0"/>
          <w:strike w:val="0"/>
          <w:sz w:val="22"/>
          <w:u w:val="single"/>
        </w:rPr>
        <w:t>the loss cannot be measured or is one that nobody would expect to suffer</w:t>
      </w:r>
      <w:r>
        <w:rPr>
          <w:b w:val="0"/>
          <w:i w:val="0"/>
          <w:smallCaps w:val="0"/>
          <w:strike w:val="0"/>
          <w:sz w:val="16"/>
          <w:u w:val="none"/>
        </w:rPr>
        <w:t xml:space="preserve">; </w:t>
      </w:r>
      <w:r>
        <w:rPr>
          <w:b w:val="0"/>
          <w:i w:val="0"/>
          <w:smallCaps w:val="0"/>
          <w:strike w:val="0"/>
          <w:sz w:val="22"/>
          <w:u w:val="single"/>
        </w:rPr>
        <w:t>specific instances of marketplace confusion</w:t>
      </w:r>
      <w:r>
        <w:rPr>
          <w:b w:val="0"/>
          <w:i w:val="0"/>
          <w:smallCaps w:val="0"/>
          <w:strike w:val="0"/>
          <w:sz w:val="16"/>
          <w:u w:val="none"/>
        </w:rPr>
        <w:t xml:space="preserve">; </w:t>
      </w:r>
      <w:r>
        <w:rPr>
          <w:b w:val="0"/>
          <w:i w:val="0"/>
          <w:smallCaps w:val="0"/>
          <w:strike w:val="0"/>
          <w:sz w:val="22"/>
          <w:u w:val="single"/>
        </w:rPr>
        <w:t>harm to a plaintiff’s reputation</w:t>
      </w:r>
      <w:r>
        <w:rPr>
          <w:b w:val="0"/>
          <w:i w:val="0"/>
          <w:smallCaps w:val="0"/>
          <w:strike w:val="0"/>
          <w:sz w:val="16"/>
          <w:u w:val="none"/>
        </w:rPr>
        <w:t xml:space="preserve">, goodwill or brand; </w:t>
      </w:r>
      <w:r>
        <w:rPr>
          <w:b w:val="0"/>
          <w:i w:val="0"/>
          <w:smallCaps w:val="0"/>
          <w:strike w:val="0"/>
          <w:sz w:val="22"/>
          <w:u w:val="single"/>
        </w:rPr>
        <w:t>demonstrated inability to reign in the infringing acts</w:t>
      </w:r>
      <w:r>
        <w:rPr>
          <w:b w:val="0"/>
          <w:i w:val="0"/>
          <w:smallCaps w:val="0"/>
          <w:strike w:val="0"/>
          <w:sz w:val="16"/>
          <w:u w:val="none"/>
        </w:rPr>
        <w:t xml:space="preserve"> (such as with widespread distribution of works); </w:t>
      </w:r>
      <w:r>
        <w:rPr>
          <w:b w:val="0"/>
          <w:i w:val="0"/>
          <w:smallCaps w:val="0"/>
          <w:strike w:val="0"/>
          <w:sz w:val="22"/>
          <w:u w:val="single"/>
        </w:rPr>
        <w:t>in a preliminary injunction case</w:t>
      </w:r>
      <w:r>
        <w:rPr>
          <w:b w:val="0"/>
          <w:i w:val="0"/>
          <w:smallCaps w:val="0"/>
          <w:strike w:val="0"/>
          <w:sz w:val="16"/>
          <w:u w:val="none"/>
        </w:rPr>
        <w:t xml:space="preserve">, </w:t>
      </w:r>
      <w:r>
        <w:rPr>
          <w:b w:val="0"/>
          <w:i w:val="0"/>
          <w:smallCaps w:val="0"/>
          <w:strike w:val="0"/>
          <w:sz w:val="22"/>
          <w:u w:val="single"/>
        </w:rPr>
        <w:t>the loss of a short window to exploit a work; or other significant business injury</w:t>
      </w:r>
      <w:r>
        <w:rPr>
          <w:b w:val="0"/>
          <w:i w:val="0"/>
          <w:smallCaps w:val="0"/>
          <w:strike w:val="0"/>
          <w:sz w:val="16"/>
          <w:u w:val="none"/>
        </w:rPr>
        <w:t>.</w:t>
      </w:r>
    </w:p>
    <w:p>
      <w:pPr>
        <w:spacing w:after="60"/>
      </w:pPr>
      <w:r>
        <w:rPr>
          <w:b w:val="0"/>
          <w:i w:val="0"/>
          <w:smallCaps w:val="0"/>
          <w:strike w:val="0"/>
          <w:sz w:val="16"/>
          <w:u w:val="none"/>
        </w:rPr>
        <w:t xml:space="preserve">In contrast, </w:t>
      </w:r>
      <w:r>
        <w:rPr>
          <w:b w:val="0"/>
          <w:i w:val="0"/>
          <w:smallCaps w:val="0"/>
          <w:strike w:val="0"/>
          <w:sz w:val="22"/>
          <w:u w:val="single"/>
        </w:rPr>
        <w:t>courts</w:t>
      </w:r>
      <w:r>
        <w:rPr>
          <w:b w:val="0"/>
          <w:i w:val="0"/>
          <w:smallCaps w:val="0"/>
          <w:strike w:val="0"/>
          <w:sz w:val="16"/>
          <w:u w:val="none"/>
        </w:rPr>
        <w:t xml:space="preserve"> have </w:t>
      </w:r>
      <w:r>
        <w:rPr>
          <w:b w:val="0"/>
          <w:i w:val="0"/>
          <w:smallCaps w:val="0"/>
          <w:strike w:val="0"/>
          <w:sz w:val="22"/>
          <w:u w:val="single"/>
        </w:rPr>
        <w:t>declined</w:t>
      </w:r>
      <w:r>
        <w:rPr>
          <w:b w:val="0"/>
          <w:i w:val="0"/>
          <w:smallCaps w:val="0"/>
          <w:strike w:val="0"/>
          <w:sz w:val="16"/>
          <w:u w:val="none"/>
        </w:rPr>
        <w:t xml:space="preserve"> </w:t>
      </w:r>
      <w:r>
        <w:rPr>
          <w:b w:val="0"/>
          <w:i w:val="0"/>
          <w:smallCaps w:val="0"/>
          <w:strike w:val="0"/>
          <w:sz w:val="22"/>
          <w:u w:val="single"/>
        </w:rPr>
        <w:t>to find irreparable harm where the injury can be remedied by money damages</w:t>
      </w:r>
      <w:r>
        <w:rPr>
          <w:b w:val="0"/>
          <w:i w:val="0"/>
          <w:smallCaps w:val="0"/>
          <w:strike w:val="0"/>
          <w:sz w:val="16"/>
          <w:u w:val="none"/>
        </w:rPr>
        <w:t xml:space="preserve"> (even where the defendant cannot pay those damages); the harm is hypothetical, minor or not proven; or </w:t>
      </w:r>
      <w:r>
        <w:rPr>
          <w:b w:val="0"/>
          <w:i w:val="0"/>
          <w:smallCaps w:val="0"/>
          <w:strike w:val="0"/>
          <w:sz w:val="22"/>
          <w:u w:val="single"/>
        </w:rPr>
        <w:t>where all that is shown is that the defendant intends to continue infringing</w:t>
      </w:r>
      <w:r>
        <w:rPr>
          <w:b w:val="0"/>
          <w:i w:val="0"/>
          <w:smallCaps w:val="0"/>
          <w:strike w:val="0"/>
          <w:sz w:val="16"/>
          <w:u w:val="none"/>
        </w:rPr>
        <w:t xml:space="preserve">. Furthermore, </w:t>
      </w:r>
      <w:r>
        <w:rPr>
          <w:b w:val="0"/>
          <w:i w:val="0"/>
          <w:smallCaps w:val="0"/>
          <w:strike w:val="0"/>
          <w:sz w:val="22"/>
          <w:highlight w:val="cyan"/>
          <w:u w:val="single"/>
        </w:rPr>
        <w:t>the traditional defense argument of</w:t>
      </w:r>
      <w:r>
        <w:rPr>
          <w:b w:val="0"/>
          <w:i w:val="0"/>
          <w:smallCaps w:val="0"/>
          <w:strike w:val="0"/>
          <w:sz w:val="22"/>
          <w:u w:val="single"/>
        </w:rPr>
        <w:t xml:space="preserve"> </w:t>
      </w:r>
      <w:r>
        <w:rPr>
          <w:b w:val="0"/>
          <w:i w:val="0"/>
          <w:smallCaps w:val="0"/>
          <w:strike w:val="0"/>
          <w:sz w:val="22"/>
          <w:highlight w:val="cyan"/>
          <w:u w:val="single"/>
        </w:rPr>
        <w:t>delay</w:t>
      </w:r>
      <w:r>
        <w:rPr>
          <w:b w:val="0"/>
          <w:i w:val="0"/>
          <w:smallCaps w:val="0"/>
          <w:strike w:val="0"/>
          <w:sz w:val="22"/>
          <w:u w:val="single"/>
        </w:rPr>
        <w:t xml:space="preserve"> in seeking an injunction appears to be </w:t>
      </w:r>
      <w:r>
        <w:rPr>
          <w:b w:val="0"/>
          <w:i w:val="0"/>
          <w:smallCaps w:val="0"/>
          <w:strike w:val="0"/>
          <w:sz w:val="22"/>
          <w:highlight w:val="cyan"/>
          <w:u w:val="single"/>
        </w:rPr>
        <w:t>carrying more weight</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w:t>
      </w:r>
      <w:r>
        <w:rPr>
          <w:b w:val="0"/>
          <w:i w:val="0"/>
          <w:smallCaps w:val="0"/>
          <w:strike w:val="0"/>
          <w:sz w:val="22"/>
          <w:u w:val="single"/>
        </w:rPr>
        <w:t>the</w:t>
      </w:r>
      <w:r>
        <w:rPr>
          <w:b w:val="0"/>
          <w:i w:val="0"/>
          <w:smallCaps w:val="0"/>
          <w:strike w:val="0"/>
          <w:sz w:val="22"/>
          <w:u w:val="single"/>
        </w:rPr>
        <w:t xml:space="preserve"> </w:t>
      </w:r>
      <w:r>
        <w:rPr>
          <w:b/>
          <w:i w:val="0"/>
          <w:smallCaps w:val="0"/>
          <w:strike w:val="0"/>
          <w:sz w:val="22"/>
          <w:highlight w:val="cyan"/>
          <w:u w:val="single"/>
        </w:rPr>
        <w:t>irreparable harm inquiry in</w:t>
      </w:r>
      <w:r>
        <w:rPr>
          <w:b/>
          <w:i w:val="0"/>
          <w:smallCaps w:val="0"/>
          <w:strike w:val="0"/>
          <w:sz w:val="22"/>
          <w:u w:val="single"/>
        </w:rPr>
        <w:t xml:space="preserve"> </w:t>
      </w:r>
      <w:r>
        <w:rPr>
          <w:b/>
          <w:i w:val="0"/>
          <w:smallCaps w:val="0"/>
          <w:strike w:val="0"/>
          <w:sz w:val="22"/>
          <w:highlight w:val="cyan"/>
          <w:u w:val="single"/>
        </w:rPr>
        <w:t>the post-eBay era</w:t>
      </w:r>
      <w:r>
        <w:rPr>
          <w:b w:val="0"/>
          <w:i w:val="0"/>
          <w:smallCaps w:val="0"/>
          <w:strike w:val="0"/>
          <w:sz w:val="16"/>
          <w:highlight w:val="cyan"/>
          <w:u w:val="none"/>
        </w:rPr>
        <w:t>.</w:t>
      </w:r>
    </w:p>
    <w:p>
      <w:pPr>
        <w:spacing w:after="60"/>
      </w:pPr>
      <w:r>
        <w:rPr>
          <w:b w:val="0"/>
          <w:i w:val="0"/>
          <w:smallCaps w:val="0"/>
          <w:strike w:val="0"/>
          <w:sz w:val="22"/>
          <w:u w:val="single"/>
        </w:rPr>
        <w:t>Where irreparable harm is established</w:t>
      </w:r>
      <w:r>
        <w:rPr>
          <w:b w:val="0"/>
          <w:i w:val="0"/>
          <w:smallCaps w:val="0"/>
          <w:strike w:val="0"/>
          <w:sz w:val="16"/>
          <w:u w:val="none"/>
        </w:rPr>
        <w:t xml:space="preserve">, </w:t>
      </w:r>
      <w:r>
        <w:rPr>
          <w:b w:val="0"/>
          <w:i w:val="0"/>
          <w:smallCaps w:val="0"/>
          <w:strike w:val="0"/>
          <w:sz w:val="22"/>
          <w:u w:val="single"/>
        </w:rPr>
        <w:t>courts</w:t>
      </w:r>
      <w:r>
        <w:rPr>
          <w:b w:val="0"/>
          <w:i w:val="0"/>
          <w:smallCaps w:val="0"/>
          <w:strike w:val="0"/>
          <w:sz w:val="16"/>
          <w:u w:val="none"/>
        </w:rPr>
        <w:t xml:space="preserve"> have </w:t>
      </w:r>
      <w:r>
        <w:rPr>
          <w:b w:val="0"/>
          <w:i w:val="0"/>
          <w:smallCaps w:val="0"/>
          <w:strike w:val="0"/>
          <w:sz w:val="22"/>
          <w:u w:val="single"/>
        </w:rPr>
        <w:t>failed to find in favor of issuing an injunction where the defendant would suffer significant expense in removing infringing material</w:t>
      </w:r>
      <w:r>
        <w:rPr>
          <w:b w:val="0"/>
          <w:i w:val="0"/>
          <w:smallCaps w:val="0"/>
          <w:strike w:val="0"/>
          <w:sz w:val="16"/>
          <w:u w:val="none"/>
        </w:rPr>
        <w:t>, or where the cessation of infringement would destroy primarily noninfringing components of a defendant’s work or business. However, not surprisingly, the inability to continue to sell an infringing work is not the type of hardship that a court will consider.</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