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Federal Circuit </w:t>
      </w:r>
      <w:r>
        <w:rPr>
          <w:b/>
          <w:i w:val="0"/>
          <w:smallCaps w:val="0"/>
          <w:strike w:val="0"/>
          <w:sz w:val="26"/>
          <w:u w:val="single"/>
        </w:rPr>
        <w:t>locked in</w:t>
      </w:r>
      <w:r>
        <w:rPr>
          <w:b/>
          <w:i w:val="0"/>
          <w:smallCaps w:val="0"/>
          <w:strike w:val="0"/>
          <w:sz w:val="26"/>
          <w:u w:val="none"/>
        </w:rPr>
        <w:t xml:space="preserve"> the possibility of future patent infringement cases </w:t>
      </w:r>
      <w:r>
        <w:rPr>
          <w:b/>
          <w:i w:val="0"/>
          <w:smallCaps w:val="0"/>
          <w:strike w:val="0"/>
          <w:sz w:val="26"/>
          <w:u w:val="single"/>
        </w:rPr>
        <w:t>rising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Baker </w:t>
      </w:r>
      <w:r>
        <w:rPr>
          <w:b/>
          <w:i w:val="0"/>
          <w:smallCaps w:val="0"/>
          <w:strike w:val="0"/>
          <w:sz w:val="26"/>
          <w:u w:val="single"/>
        </w:rPr>
        <w:t>Botts 24</w:t>
      </w:r>
      <w:r>
        <w:rPr>
          <w:b w:val="0"/>
          <w:i w:val="0"/>
          <w:smallCaps w:val="0"/>
          <w:strike w:val="0"/>
          <w:u w:val="none"/>
        </w:rPr>
        <w:t xml:space="preserve">, international law firm whose lawyers practice throughout a network of offices around the globe, leading firm in the energy, technology and life sciences sectors, 6/3/24, </w:t>
      </w:r>
      <w:r>
        <w:rPr>
          <w:b w:val="0"/>
          <w:i/>
          <w:smallCaps w:val="0"/>
          <w:strike w:val="0"/>
          <w:u w:val="none"/>
        </w:rPr>
        <w:t>Thought Leadership</w:t>
      </w:r>
      <w:r>
        <w:rPr>
          <w:b w:val="0"/>
          <w:i w:val="0"/>
          <w:smallCaps w:val="0"/>
          <w:strike w:val="0"/>
          <w:u w:val="none"/>
        </w:rPr>
        <w:t>, ”Patent Damages in a Globalized Economy (Brumfield v. IBG)”, https://www.bakerbotts.com/thought-leadership/publications/2024/june/patent-damages-in-a-globalized-economy, kcab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Federal Circuit’s recent decision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Brumfield v. IBG LLC[1]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made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clear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what the Supreme Court hinted 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WesternGeco LLC v. ION Geophysical[2]:  For any domestic act of infringement, a patent holder may request compensation for internationalharms.  </w:t>
      </w:r>
      <w:r>
        <w:rPr>
          <w:b w:val="0"/>
          <w:i w:val="0"/>
          <w:smallCaps w:val="0"/>
          <w:strike w:val="0"/>
          <w:sz w:val="22"/>
          <w:u w:val="single"/>
        </w:rPr>
        <w:t>The Supreme Court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had </w:t>
      </w:r>
      <w:r>
        <w:rPr>
          <w:b w:val="0"/>
          <w:i w:val="0"/>
          <w:smallCaps w:val="0"/>
          <w:strike w:val="0"/>
          <w:sz w:val="22"/>
          <w:u w:val="single"/>
        </w:rPr>
        <w:t>established this rule 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WesternGeco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for the recovery of lost profits in connection with infringement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under Section 271(f), and </w:t>
      </w:r>
      <w:r>
        <w:rPr>
          <w:b w:val="0"/>
          <w:i w:val="0"/>
          <w:smallCaps w:val="0"/>
          <w:strike w:val="0"/>
          <w:sz w:val="22"/>
          <w:u w:val="single"/>
        </w:rPr>
        <w:t>the Federal Circuit recognized in Brumfield that there is no reason for reasonable royalties and other types of direct infringement to be treated differently</w:t>
      </w:r>
      <w:r>
        <w:rPr>
          <w:b w:val="0"/>
          <w:i w:val="0"/>
          <w:smallCaps w:val="0"/>
          <w:strike w:val="0"/>
          <w:sz w:val="16"/>
          <w:u w:val="none"/>
        </w:rPr>
        <w:t>.[3]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purpose of this article is to examine the immediate strategic implications of Brumfield, and the potential long-term significance of the case within the evolving landscape of patent damages. 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potential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expansion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 damages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under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Brumfield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added significance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context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current patent litigation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trends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 Reasonable royalty damages have become the default approach in most cases, especially in cases involving non-practicing entities.[4] 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Supreme Court’s decision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TC Heartland LLC v. Kraft Foods Grp. Brands LLC—which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tightened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venue rules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 infringement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actions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against domestic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defendants</w:t>
      </w:r>
      <w:r>
        <w:rPr>
          <w:b w:val="0"/>
          <w:i w:val="0"/>
          <w:smallCaps w:val="0"/>
          <w:strike w:val="0"/>
          <w:sz w:val="16"/>
          <w:u w:val="none"/>
        </w:rPr>
        <w:t>—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incentivizes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 holders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bring infringement actions against foreign companies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.[5] In combination,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means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that more patent cases are likely to involve requests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reasonable </w:t>
      </w:r>
      <w:r>
        <w:rPr>
          <w:b/>
          <w:i w:val="0"/>
          <w:smallCaps w:val="0"/>
          <w:strike w:val="0"/>
          <w:sz w:val="22"/>
          <w:u w:val="single"/>
        </w:rPr>
        <w:t>royalties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against </w:t>
      </w:r>
      <w:r>
        <w:rPr>
          <w:b/>
          <w:i w:val="0"/>
          <w:smallCaps w:val="0"/>
          <w:strike w:val="0"/>
          <w:sz w:val="22"/>
          <w:u w:val="single"/>
        </w:rPr>
        <w:t>multi-national corporations</w:t>
      </w:r>
      <w:r>
        <w:rPr>
          <w:b w:val="0"/>
          <w:i w:val="0"/>
          <w:smallCaps w:val="0"/>
          <w:strike w:val="0"/>
          <w:sz w:val="16"/>
          <w:u w:val="none"/>
        </w:rPr>
        <w:t>, which will almost always implicate Brumfield.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History of </w:t>
      </w:r>
      <w:r>
        <w:rPr>
          <w:b w:val="0"/>
          <w:i w:val="0"/>
          <w:smallCaps w:val="0"/>
          <w:strike w:val="0"/>
          <w:sz w:val="22"/>
          <w:u w:val="single"/>
        </w:rPr>
        <w:t>Extraterritorial Patent Damages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Pre-WesternGeco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Prior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to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Supreme Court’s decision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WesternGeco,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there was an understanding that patent holders could </w:t>
      </w:r>
      <w:r>
        <w:rPr>
          <w:b/>
          <w:i w:val="0"/>
          <w:smallCaps w:val="0"/>
          <w:strike w:val="0"/>
          <w:sz w:val="22"/>
          <w:u w:val="single"/>
        </w:rPr>
        <w:t>not recover damages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</w:t>
      </w:r>
      <w:r>
        <w:rPr>
          <w:b/>
          <w:i w:val="0"/>
          <w:smallCaps w:val="0"/>
          <w:strike w:val="0"/>
          <w:sz w:val="22"/>
          <w:u w:val="single"/>
        </w:rPr>
        <w:t>foreign harm</w:t>
      </w:r>
      <w:r>
        <w:rPr>
          <w:b w:val="0"/>
          <w:i w:val="0"/>
          <w:smallCaps w:val="0"/>
          <w:strike w:val="0"/>
          <w:sz w:val="22"/>
          <w:u w:val="single"/>
        </w:rPr>
        <w:t>.  This is reflected in the Federal Circuit’s decision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Power Integrations, Inc. v. Fairchild Semiconductor Int'l, Inc.,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where the Federal Circuit rejected a plaintiff’s attempt to recover lost profits for </w:t>
      </w:r>
      <w:r>
        <w:rPr>
          <w:b/>
          <w:i w:val="0"/>
          <w:smallCaps w:val="0"/>
          <w:strike w:val="0"/>
          <w:sz w:val="22"/>
          <w:u w:val="single"/>
        </w:rPr>
        <w:t>worldwide sales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.[6] Specifically, </w:t>
      </w:r>
      <w:r>
        <w:rPr>
          <w:b w:val="0"/>
          <w:i w:val="0"/>
          <w:smallCaps w:val="0"/>
          <w:strike w:val="0"/>
          <w:sz w:val="22"/>
          <w:u w:val="single"/>
        </w:rPr>
        <w:t>the plaintiff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argued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>the jury was correct to award damages based on worldwide sales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(including foreign sales) of infringing chips.[7] According to the plaintiff, it was entitled to recover lost foreign sales that it “would have made but for [the defendant]’s domestic infringement,” because “</w:t>
      </w:r>
      <w:r>
        <w:rPr>
          <w:b w:val="0"/>
          <w:i w:val="0"/>
          <w:smallCaps w:val="0"/>
          <w:strike w:val="0"/>
          <w:sz w:val="22"/>
          <w:u w:val="single"/>
        </w:rPr>
        <w:t>it was foreseeable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[the </w:t>
      </w:r>
      <w:r>
        <w:rPr>
          <w:b w:val="0"/>
          <w:i w:val="0"/>
          <w:smallCaps w:val="0"/>
          <w:strike w:val="0"/>
          <w:sz w:val="22"/>
          <w:u w:val="single"/>
        </w:rPr>
        <w:t>defendant’s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] </w:t>
      </w:r>
      <w:r>
        <w:rPr>
          <w:b w:val="0"/>
          <w:i w:val="0"/>
          <w:smallCaps w:val="0"/>
          <w:strike w:val="0"/>
          <w:sz w:val="22"/>
          <w:u w:val="single"/>
        </w:rPr>
        <w:t>infringement in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nited </w:t>
      </w:r>
      <w:r>
        <w:rPr>
          <w:b w:val="0"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tates </w:t>
      </w:r>
      <w:r>
        <w:rPr>
          <w:b w:val="0"/>
          <w:i w:val="0"/>
          <w:smallCaps w:val="0"/>
          <w:strike w:val="0"/>
          <w:sz w:val="22"/>
          <w:u w:val="single"/>
        </w:rPr>
        <w:t>would cause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[the plaintiff] to lose sales in foreign markets.”[8] In support, the plaintiff cited the Federal Circuit’s statement in Rite-Hite Corp. v. Kelley Co. that, “[i]f a particular injury was or should have been reasonably foreseeable by an infringing competitor in the relevant market, broadly defined, that injury is generally compensable absent a persuasive reason to the contrary.”[9]  </w:t>
      </w:r>
      <w:r>
        <w:rPr>
          <w:b w:val="0"/>
          <w:i w:val="0"/>
          <w:smallCaps w:val="0"/>
          <w:strike w:val="0"/>
          <w:sz w:val="22"/>
          <w:u w:val="single"/>
        </w:rPr>
        <w:t>The Power Integration court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however, </w:t>
      </w:r>
      <w:r>
        <w:rPr>
          <w:b w:val="0"/>
          <w:i w:val="0"/>
          <w:smallCaps w:val="0"/>
          <w:strike w:val="0"/>
          <w:sz w:val="22"/>
          <w:u w:val="single"/>
        </w:rPr>
        <w:t>rejected the plaintiff’s argument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holding that “[i]t is axiomatic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U.S. patent law does not operate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extraterritorially to prohibit infringement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abroad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,” and that </w:t>
      </w:r>
      <w:r>
        <w:rPr>
          <w:b w:val="0"/>
          <w:i w:val="0"/>
          <w:smallCaps w:val="0"/>
          <w:strike w:val="0"/>
          <w:sz w:val="22"/>
          <w:u w:val="single"/>
        </w:rPr>
        <w:t>the law provides no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compensation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for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defendant’s foreign exploitation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a patented invention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which is not infringement at all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.”[10] </w:t>
      </w:r>
      <w:r>
        <w:rPr>
          <w:b w:val="0"/>
          <w:i w:val="0"/>
          <w:smallCaps w:val="0"/>
          <w:strike w:val="0"/>
          <w:sz w:val="22"/>
          <w:u w:val="single"/>
        </w:rPr>
        <w:t>The court viewed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“</w:t>
      </w:r>
      <w:r>
        <w:rPr>
          <w:b w:val="0"/>
          <w:i w:val="0"/>
          <w:smallCaps w:val="0"/>
          <w:strike w:val="0"/>
          <w:sz w:val="22"/>
          <w:u w:val="single"/>
        </w:rPr>
        <w:t>the entirely extraterritorial production</w:t>
      </w:r>
      <w:r>
        <w:rPr>
          <w:b w:val="0"/>
          <w:i w:val="0"/>
          <w:smallCaps w:val="0"/>
          <w:strike w:val="0"/>
          <w:sz w:val="16"/>
          <w:u w:val="none"/>
        </w:rPr>
        <w:t>, use, or sale of an invention patented in the United States [as] an independent, intervening act that, under almost all circumstances, cuts off the chain of causation initiated by an act of domestic infringement.”[11]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Federal Circuit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subsequently </w:t>
      </w:r>
      <w:r>
        <w:rPr>
          <w:b w:val="0"/>
          <w:i w:val="0"/>
          <w:smallCaps w:val="0"/>
          <w:strike w:val="0"/>
          <w:sz w:val="22"/>
          <w:u w:val="single"/>
        </w:rPr>
        <w:t>applied this holding from Power Integrations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(which was a lost profits case</w:t>
      </w:r>
      <w:r>
        <w:rPr>
          <w:b w:val="0"/>
          <w:i w:val="0"/>
          <w:smallCaps w:val="0"/>
          <w:strike w:val="0"/>
          <w:sz w:val="22"/>
          <w:u w:val="single"/>
        </w:rPr>
        <w:t>), to reasonable royalties</w:t>
      </w:r>
      <w:r>
        <w:rPr>
          <w:b w:val="0"/>
          <w:i w:val="0"/>
          <w:smallCaps w:val="0"/>
          <w:strike w:val="0"/>
          <w:sz w:val="16"/>
          <w:u w:val="none"/>
        </w:rPr>
        <w:t>. In Carnegie Mellon Univ. v. Marvell Tech. Grp., Ltd., the Court held it is not proper to include chips made and delivered abroad in the royalty base, “</w:t>
      </w:r>
      <w:r>
        <w:rPr>
          <w:b w:val="0"/>
          <w:i w:val="0"/>
          <w:smallCaps w:val="0"/>
          <w:strike w:val="0"/>
          <w:sz w:val="22"/>
          <w:u w:val="single"/>
        </w:rPr>
        <w:t>unless those chips can fairly be said to have been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sold here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.”[12] In reaching this conclusion, </w:t>
      </w:r>
      <w:r>
        <w:rPr>
          <w:b w:val="0"/>
          <w:i w:val="0"/>
          <w:smallCaps w:val="0"/>
          <w:strike w:val="0"/>
          <w:sz w:val="22"/>
          <w:u w:val="single"/>
        </w:rPr>
        <w:t>the Federal Circuit noted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that, under Power Integrations,</w:t>
      </w:r>
      <w:r>
        <w:rPr>
          <w:b w:val="0"/>
          <w:i w:val="0"/>
          <w:smallCaps w:val="0"/>
          <w:strike w:val="0"/>
          <w:sz w:val="22"/>
          <w:u w:val="single"/>
        </w:rPr>
        <w:t>it is not sufficient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 damages-measuring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foreign activity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been factually caused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in the ordinary sense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by domestic activity constituting infringement under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§ </w:t>
      </w:r>
      <w:r>
        <w:rPr>
          <w:b w:val="0"/>
          <w:i w:val="0"/>
          <w:smallCaps w:val="0"/>
          <w:strike w:val="0"/>
          <w:sz w:val="22"/>
          <w:u w:val="single"/>
        </w:rPr>
        <w:t>271</w:t>
      </w:r>
      <w:r>
        <w:rPr>
          <w:b w:val="0"/>
          <w:i w:val="0"/>
          <w:smallCaps w:val="0"/>
          <w:strike w:val="0"/>
          <w:sz w:val="16"/>
          <w:u w:val="none"/>
        </w:rPr>
        <w:t xml:space="preserve">(a).”[13] Thus, </w:t>
      </w:r>
      <w:r>
        <w:rPr>
          <w:b w:val="0"/>
          <w:i w:val="0"/>
          <w:smallCaps w:val="0"/>
          <w:strike w:val="0"/>
          <w:sz w:val="22"/>
          <w:u w:val="single"/>
        </w:rPr>
        <w:t>the Federal Circuit reasoned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“[a]lthough all of Marvell’s sales are strongly enough tied to its domestic infringement as a causation matter to have been part of the hypothetical-negotiation agreement,” </w:t>
      </w:r>
      <w:r>
        <w:rPr>
          <w:b w:val="0"/>
          <w:i w:val="0"/>
          <w:smallCaps w:val="0"/>
          <w:strike w:val="0"/>
          <w:sz w:val="22"/>
          <w:u w:val="single"/>
        </w:rPr>
        <w:t>in the absence of domestic making or using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or of importing,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foreign sales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can</w:t>
      </w:r>
      <w:r>
        <w:rPr>
          <w:b w:val="0"/>
          <w:i w:val="0"/>
          <w:smallCaps w:val="0"/>
          <w:strike w:val="0"/>
          <w:sz w:val="22"/>
          <w:u w:val="single"/>
        </w:rPr>
        <w:t>no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used as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direct measure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royalty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[14] </w:t>
      </w:r>
      <w:r>
        <w:rPr>
          <w:b w:val="0"/>
          <w:i w:val="0"/>
          <w:smallCaps w:val="0"/>
          <w:strike w:val="0"/>
          <w:sz w:val="22"/>
          <w:u w:val="single"/>
        </w:rPr>
        <w:t>The court specifically noted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“[a]s a practical matter, </w:t>
      </w:r>
      <w:r>
        <w:rPr>
          <w:b w:val="0"/>
          <w:i w:val="0"/>
          <w:smallCaps w:val="0"/>
          <w:strike w:val="0"/>
          <w:sz w:val="22"/>
          <w:u w:val="single"/>
        </w:rPr>
        <w:t>given the ease of finding cross-border causal connections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anything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would make too little of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presumption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against extraterritoriality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must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inform our application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patent laws to damages</w:t>
      </w:r>
      <w:r>
        <w:rPr>
          <w:b w:val="0"/>
          <w:i w:val="0"/>
          <w:smallCaps w:val="0"/>
          <w:strike w:val="0"/>
          <w:sz w:val="16"/>
          <w:u w:val="none"/>
        </w:rPr>
        <w:t>.”[15]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WesternGeco Changes Course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Supreme Court’s decision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WesternGeco strongly </w:t>
      </w:r>
      <w:r>
        <w:rPr>
          <w:b w:val="0"/>
          <w:i w:val="0"/>
          <w:smallCaps w:val="0"/>
          <w:strike w:val="0"/>
          <w:sz w:val="22"/>
          <w:u w:val="single"/>
        </w:rPr>
        <w:t>departed from the Power Integrations line of Federal Circuit cases on extraterritoriality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at least in the context of lost profits for infringement under Section 271(f)(2).  Infringement under Section 271(f)(2) provided a unique opportunity for the Supreme Court to assess damages for foreign harms because Section 271(f)(2) specifically prohibits providing components of a patented invention “knowing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such component is so made or adapted and intending that such component will be combined outside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of the United States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 a manner that would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infringe the patent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if such combination occurred within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United States.”  35 U.S.C. § 271(f)(2). In WesternGeco, the plaintiff owned patents for a system used in surveying the ocean floor, and the plaintiff alleged that the defendant infringed these patents under 35 U.S.C. §§ 271(f)(1) and (f)(2) by exporting components for use in a foreign country in a way that would infringe if done in the United States.  As a result of this export, the plaintiff alleged that it lost contracts in foreign countries, and a jury agreed, awarding lost profits.</w:t>
      </w:r>
    </w:p>
    <w:p>
      <w:pPr>
        <w:pStyle w:val="Caption"/>
      </w:pPr>
      <w:r>
        <w:t>Source: Damages DA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