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Litigation floods are </w:t>
      </w:r>
      <w:r>
        <w:rPr>
          <w:b/>
          <w:i w:val="0"/>
          <w:smallCaps w:val="0"/>
          <w:strike w:val="0"/>
          <w:sz w:val="26"/>
          <w:u w:val="single"/>
        </w:rPr>
        <w:t>coming now</w:t>
      </w:r>
      <w:r>
        <w:rPr>
          <w:b/>
          <w:i w:val="0"/>
          <w:smallCaps w:val="0"/>
          <w:strike w:val="0"/>
          <w:sz w:val="26"/>
          <w:u w:val="none"/>
        </w:rPr>
        <w:t>---the most recent court case.</w:t>
      </w:r>
    </w:p>
    <w:p>
      <w:pPr>
        <w:spacing w:after="80"/>
      </w:pPr>
      <w:r>
        <w:rPr>
          <w:b w:val="0"/>
          <w:i w:val="0"/>
          <w:smallCaps w:val="0"/>
          <w:strike w:val="0"/>
          <w:u w:val="none"/>
        </w:rPr>
        <w:t xml:space="preserve">Elieen </w:t>
      </w:r>
      <w:r>
        <w:rPr>
          <w:b/>
          <w:i w:val="0"/>
          <w:smallCaps w:val="0"/>
          <w:strike w:val="0"/>
          <w:sz w:val="26"/>
          <w:u w:val="single"/>
        </w:rPr>
        <w:t>McDermott 24</w:t>
      </w:r>
      <w:r>
        <w:rPr>
          <w:b w:val="0"/>
          <w:i w:val="0"/>
          <w:smallCaps w:val="0"/>
          <w:strike w:val="0"/>
          <w:u w:val="none"/>
        </w:rPr>
        <w:t xml:space="preserve">, Editor-in-Chief of IPWatchdog.com. Eileen is a veteran IP and legal journalist, and no stranger to the intellectual property world, having held editorial and managerial positions at several publications and industry organizations, 5/9/24, </w:t>
      </w:r>
      <w:r>
        <w:rPr>
          <w:b w:val="0"/>
          <w:i/>
          <w:smallCaps w:val="0"/>
          <w:strike w:val="0"/>
          <w:u w:val="none"/>
        </w:rPr>
        <w:t>IpWatchDog</w:t>
      </w:r>
      <w:r>
        <w:rPr>
          <w:b w:val="0"/>
          <w:i w:val="0"/>
          <w:smallCaps w:val="0"/>
          <w:strike w:val="0"/>
          <w:u w:val="none"/>
        </w:rPr>
        <w:t xml:space="preserve">, “SCOTUS Rejects Three-Year Limit on Copyright Damages But Sidesteps Accrual Question”, </w:t>
      </w:r>
      <w:r>
        <w:rPr>
          <w:b w:val="0"/>
          <w:i w:val="0"/>
          <w:smallCaps w:val="0"/>
          <w:strike w:val="0"/>
          <w:u w:val="none"/>
        </w:rPr>
        <w:t>https://ipwatchdog.com/2024/05/09/scotus-rejects-three-year-limit-copyright-damages-sidesteps-accrual/id=176391/</w:t>
      </w:r>
      <w:r>
        <w:rPr>
          <w:b w:val="0"/>
          <w:i w:val="0"/>
          <w:smallCaps w:val="0"/>
          <w:strike w:val="0"/>
          <w:u w:val="none"/>
        </w:rPr>
        <w:t>, kcab</w:t>
      </w:r>
    </w:p>
    <w:p>
      <w:pPr>
        <w:spacing w:after="60"/>
      </w:pPr>
      <w:r>
        <w:rPr>
          <w:b w:val="0"/>
          <w:i w:val="0"/>
          <w:smallCaps w:val="0"/>
          <w:strike w:val="0"/>
          <w:sz w:val="16"/>
          <w:u w:val="none"/>
        </w:rPr>
        <w:t>“</w:t>
      </w:r>
      <w:r>
        <w:rPr>
          <w:b w:val="0"/>
          <w:i w:val="0"/>
          <w:smallCaps w:val="0"/>
          <w:strike w:val="0"/>
          <w:sz w:val="22"/>
          <w:u w:val="single"/>
        </w:rPr>
        <w:t xml:space="preserve">The Court said that it </w:t>
      </w:r>
      <w:r>
        <w:rPr>
          <w:b w:val="0"/>
          <w:i w:val="0"/>
          <w:smallCaps w:val="0"/>
          <w:strike w:val="0"/>
          <w:sz w:val="22"/>
          <w:highlight w:val="cyan"/>
          <w:u w:val="single"/>
        </w:rPr>
        <w:t>chose not to decide whether a copyright claim accrues when a plaintiff discovers</w:t>
      </w:r>
      <w:r>
        <w:rPr>
          <w:b w:val="0"/>
          <w:i w:val="0"/>
          <w:smallCaps w:val="0"/>
          <w:strike w:val="0"/>
          <w:sz w:val="22"/>
          <w:u w:val="single"/>
        </w:rPr>
        <w:t xml:space="preserve"> </w:t>
      </w:r>
      <w:r>
        <w:rPr>
          <w:b w:val="0"/>
          <w:i w:val="0"/>
          <w:smallCaps w:val="0"/>
          <w:strike w:val="0"/>
          <w:sz w:val="22"/>
          <w:highlight w:val="cyan"/>
          <w:u w:val="single"/>
        </w:rPr>
        <w:t>or</w:t>
      </w:r>
      <w:r>
        <w:rPr>
          <w:b w:val="0"/>
          <w:i w:val="0"/>
          <w:smallCaps w:val="0"/>
          <w:strike w:val="0"/>
          <w:sz w:val="22"/>
          <w:u w:val="single"/>
        </w:rPr>
        <w:t xml:space="preserve"> should have </w:t>
      </w:r>
      <w:r>
        <w:rPr>
          <w:b/>
          <w:i w:val="0"/>
          <w:smallCaps w:val="0"/>
          <w:strike w:val="0"/>
          <w:sz w:val="22"/>
          <w:highlight w:val="cyan"/>
          <w:u w:val="single"/>
        </w:rPr>
        <w:t>discovered an infringement</w:t>
      </w:r>
      <w:r>
        <w:rPr>
          <w:b w:val="0"/>
          <w:i w:val="0"/>
          <w:smallCaps w:val="0"/>
          <w:strike w:val="0"/>
          <w:sz w:val="16"/>
          <w:u w:val="none"/>
        </w:rPr>
        <w:t xml:space="preserve">, </w:t>
      </w:r>
      <w:r>
        <w:rPr>
          <w:b w:val="0"/>
          <w:i w:val="0"/>
          <w:smallCaps w:val="0"/>
          <w:strike w:val="0"/>
          <w:sz w:val="22"/>
          <w:highlight w:val="cyan"/>
          <w:u w:val="single"/>
        </w:rPr>
        <w:t>rather than</w:t>
      </w:r>
      <w:r>
        <w:rPr>
          <w:b w:val="0"/>
          <w:i w:val="0"/>
          <w:smallCaps w:val="0"/>
          <w:strike w:val="0"/>
          <w:sz w:val="22"/>
          <w:u w:val="single"/>
        </w:rPr>
        <w:t xml:space="preserve"> </w:t>
      </w:r>
      <w:r>
        <w:rPr>
          <w:b w:val="0"/>
          <w:i w:val="0"/>
          <w:smallCaps w:val="0"/>
          <w:strike w:val="0"/>
          <w:sz w:val="22"/>
          <w:highlight w:val="cyan"/>
          <w:u w:val="single"/>
        </w:rPr>
        <w:t>when</w:t>
      </w:r>
      <w:r>
        <w:rPr>
          <w:b w:val="0"/>
          <w:i w:val="0"/>
          <w:smallCaps w:val="0"/>
          <w:strike w:val="0"/>
          <w:sz w:val="22"/>
          <w:u w:val="single"/>
        </w:rPr>
        <w:t xml:space="preserve"> the </w:t>
      </w:r>
      <w:r>
        <w:rPr>
          <w:b/>
          <w:i w:val="0"/>
          <w:smallCaps w:val="0"/>
          <w:strike w:val="0"/>
          <w:sz w:val="22"/>
          <w:highlight w:val="cyan"/>
          <w:u w:val="single"/>
        </w:rPr>
        <w:t>infringement happened’</w:t>
      </w:r>
      <w:r>
        <w:rPr>
          <w:b w:val="0"/>
          <w:i w:val="0"/>
          <w:smallCaps w:val="0"/>
          <w:strike w:val="0"/>
          <w:sz w:val="16"/>
          <w:u w:val="none"/>
        </w:rPr>
        <w:t xml:space="preserve"> because </w:t>
      </w: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u w:val="single"/>
        </w:rPr>
        <w:t>issue</w:t>
      </w:r>
      <w:r>
        <w:rPr>
          <w:b w:val="0"/>
          <w:i w:val="0"/>
          <w:smallCaps w:val="0"/>
          <w:strike w:val="0"/>
          <w:sz w:val="16"/>
          <w:u w:val="none"/>
        </w:rPr>
        <w:t xml:space="preserve"> </w:t>
      </w:r>
      <w:r>
        <w:rPr>
          <w:b w:val="0"/>
          <w:i w:val="0"/>
          <w:smallCaps w:val="0"/>
          <w:strike w:val="0"/>
          <w:sz w:val="22"/>
          <w:u w:val="single"/>
        </w:rPr>
        <w:t xml:space="preserve">was </w:t>
      </w:r>
      <w:r>
        <w:rPr>
          <w:b/>
          <w:i w:val="0"/>
          <w:smallCaps w:val="0"/>
          <w:strike w:val="0"/>
          <w:sz w:val="22"/>
          <w:u w:val="single"/>
        </w:rPr>
        <w:t>not properly presented</w:t>
      </w:r>
      <w:r>
        <w:rPr>
          <w:b w:val="0"/>
          <w:i w:val="0"/>
          <w:smallCaps w:val="0"/>
          <w:strike w:val="0"/>
          <w:sz w:val="22"/>
          <w:u w:val="single"/>
        </w:rPr>
        <w:t xml:space="preserve"> in the case</w:t>
      </w:r>
      <w:r>
        <w:rPr>
          <w:b w:val="0"/>
          <w:i w:val="0"/>
          <w:smallCaps w:val="0"/>
          <w:strike w:val="0"/>
          <w:sz w:val="16"/>
          <w:u w:val="none"/>
        </w:rPr>
        <w:t>.”</w:t>
      </w:r>
    </w:p>
    <w:p>
      <w:pPr>
        <w:spacing w:after="60"/>
      </w:pPr>
      <w:r>
        <w:rPr>
          <w:b w:val="0"/>
          <w:i w:val="0"/>
          <w:smallCaps w:val="0"/>
          <w:strike w:val="0"/>
          <w:sz w:val="16"/>
          <w:u w:val="none"/>
        </w:rPr>
        <w:t xml:space="preserve">copyright damages </w:t>
      </w:r>
      <w:r>
        <w:rPr>
          <w:b w:val="0"/>
          <w:i w:val="0"/>
          <w:smallCaps w:val="0"/>
          <w:strike w:val="0"/>
          <w:sz w:val="22"/>
          <w:highlight w:val="cyan"/>
          <w:u w:val="single"/>
        </w:rPr>
        <w:t>The</w:t>
      </w:r>
      <w:r>
        <w:rPr>
          <w:b w:val="0"/>
          <w:i w:val="0"/>
          <w:smallCaps w:val="0"/>
          <w:strike w:val="0"/>
          <w:sz w:val="22"/>
          <w:u w:val="single"/>
        </w:rPr>
        <w:t xml:space="preserve"> U.S. Supreme </w:t>
      </w:r>
      <w:r>
        <w:rPr>
          <w:b w:val="0"/>
          <w:i w:val="0"/>
          <w:smallCaps w:val="0"/>
          <w:strike w:val="0"/>
          <w:sz w:val="22"/>
          <w:highlight w:val="cyan"/>
          <w:u w:val="single"/>
        </w:rPr>
        <w:t>Court</w:t>
      </w:r>
      <w:r>
        <w:rPr>
          <w:b w:val="0"/>
          <w:i w:val="0"/>
          <w:smallCaps w:val="0"/>
          <w:strike w:val="0"/>
          <w:sz w:val="22"/>
          <w:u w:val="single"/>
        </w:rPr>
        <w:t xml:space="preserve"> today </w:t>
      </w:r>
      <w:r>
        <w:rPr>
          <w:b w:val="0"/>
          <w:i w:val="0"/>
          <w:smallCaps w:val="0"/>
          <w:strike w:val="0"/>
          <w:sz w:val="22"/>
          <w:highlight w:val="cyan"/>
          <w:u w:val="single"/>
        </w:rPr>
        <w:t>issued</w:t>
      </w:r>
      <w:r>
        <w:rPr>
          <w:b w:val="0"/>
          <w:i w:val="0"/>
          <w:smallCaps w:val="0"/>
          <w:strike w:val="0"/>
          <w:sz w:val="22"/>
          <w:u w:val="single"/>
        </w:rPr>
        <w:t xml:space="preserve"> its decision in Warner</w:t>
      </w:r>
      <w:r>
        <w:rPr>
          <w:b w:val="0"/>
          <w:i w:val="0"/>
          <w:smallCaps w:val="0"/>
          <w:strike w:val="0"/>
          <w:sz w:val="16"/>
          <w:u w:val="none"/>
        </w:rPr>
        <w:t xml:space="preserve"> Chappell Music v. Nealy, a case that </w:t>
      </w:r>
      <w:r>
        <w:rPr>
          <w:b w:val="0"/>
          <w:i w:val="0"/>
          <w:smallCaps w:val="0"/>
          <w:strike w:val="0"/>
          <w:sz w:val="22"/>
          <w:u w:val="single"/>
        </w:rPr>
        <w:t xml:space="preserve">asks whether a </w:t>
      </w:r>
      <w:r>
        <w:rPr>
          <w:b/>
          <w:i w:val="0"/>
          <w:smallCaps w:val="0"/>
          <w:strike w:val="0"/>
          <w:sz w:val="22"/>
          <w:highlight w:val="cyan"/>
          <w:u w:val="single"/>
        </w:rPr>
        <w:t>copyright plaintiff</w:t>
      </w:r>
      <w:r>
        <w:rPr>
          <w:b w:val="0"/>
          <w:i w:val="0"/>
          <w:smallCaps w:val="0"/>
          <w:strike w:val="0"/>
          <w:sz w:val="22"/>
          <w:highlight w:val="cyan"/>
          <w:u w:val="single"/>
        </w:rPr>
        <w:t xml:space="preserve"> can </w:t>
      </w:r>
      <w:r>
        <w:rPr>
          <w:b/>
          <w:i w:val="0"/>
          <w:smallCaps w:val="0"/>
          <w:strike w:val="0"/>
          <w:sz w:val="22"/>
          <w:highlight w:val="cyan"/>
          <w:u w:val="single"/>
        </w:rPr>
        <w:t>recover damages</w:t>
      </w:r>
      <w:r>
        <w:rPr>
          <w:b w:val="0"/>
          <w:i w:val="0"/>
          <w:smallCaps w:val="0"/>
          <w:strike w:val="0"/>
          <w:sz w:val="22"/>
          <w:u w:val="single"/>
        </w:rPr>
        <w:t xml:space="preserve"> </w:t>
      </w:r>
      <w:r>
        <w:rPr>
          <w:b w:val="0"/>
          <w:i w:val="0"/>
          <w:smallCaps w:val="0"/>
          <w:strike w:val="0"/>
          <w:sz w:val="22"/>
          <w:highlight w:val="cyan"/>
          <w:u w:val="single"/>
        </w:rPr>
        <w:t xml:space="preserve">for acts that </w:t>
      </w:r>
      <w:r>
        <w:rPr>
          <w:b/>
          <w:i w:val="0"/>
          <w:smallCaps w:val="0"/>
          <w:strike w:val="0"/>
          <w:sz w:val="22"/>
          <w:highlight w:val="cyan"/>
          <w:u w:val="single"/>
        </w:rPr>
        <w:t>allegedly occurred</w:t>
      </w:r>
      <w:r>
        <w:rPr>
          <w:b w:val="0"/>
          <w:i w:val="0"/>
          <w:smallCaps w:val="0"/>
          <w:strike w:val="0"/>
          <w:sz w:val="22"/>
          <w:u w:val="single"/>
        </w:rPr>
        <w:t xml:space="preserve"> </w:t>
      </w:r>
      <w:r>
        <w:rPr>
          <w:b w:val="0"/>
          <w:i w:val="0"/>
          <w:smallCaps w:val="0"/>
          <w:strike w:val="0"/>
          <w:sz w:val="22"/>
          <w:highlight w:val="cyan"/>
          <w:u w:val="single"/>
        </w:rPr>
        <w:t xml:space="preserve">more than </w:t>
      </w:r>
      <w:r>
        <w:rPr>
          <w:b/>
          <w:i w:val="0"/>
          <w:smallCaps w:val="0"/>
          <w:strike w:val="0"/>
          <w:sz w:val="22"/>
          <w:highlight w:val="cyan"/>
          <w:u w:val="single"/>
        </w:rPr>
        <w:t>three years</w:t>
      </w:r>
      <w:r>
        <w:rPr>
          <w:b w:val="0"/>
          <w:i w:val="0"/>
          <w:smallCaps w:val="0"/>
          <w:strike w:val="0"/>
          <w:sz w:val="22"/>
          <w:highlight w:val="cyan"/>
          <w:u w:val="single"/>
        </w:rPr>
        <w:t xml:space="preserve"> before the </w:t>
      </w:r>
      <w:r>
        <w:rPr>
          <w:b/>
          <w:i w:val="0"/>
          <w:smallCaps w:val="0"/>
          <w:strike w:val="0"/>
          <w:sz w:val="22"/>
          <w:highlight w:val="cyan"/>
          <w:u w:val="single"/>
        </w:rPr>
        <w:t>filing of a lawsuit</w:t>
      </w:r>
      <w:r>
        <w:rPr>
          <w:b w:val="0"/>
          <w:i w:val="0"/>
          <w:smallCaps w:val="0"/>
          <w:strike w:val="0"/>
          <w:sz w:val="16"/>
          <w:highlight w:val="cyan"/>
          <w:u w:val="none"/>
        </w:rPr>
        <w:t>.</w:t>
      </w:r>
    </w:p>
    <w:p>
      <w:pPr>
        <w:spacing w:after="60"/>
      </w:pPr>
      <w:r>
        <w:rPr>
          <w:b w:val="0"/>
          <w:i w:val="0"/>
          <w:smallCaps w:val="0"/>
          <w:strike w:val="0"/>
          <w:sz w:val="16"/>
          <w:u w:val="none"/>
        </w:rPr>
        <w:t xml:space="preserve">The </w:t>
      </w:r>
      <w:r>
        <w:rPr>
          <w:b w:val="0"/>
          <w:i w:val="0"/>
          <w:smallCaps w:val="0"/>
          <w:strike w:val="0"/>
          <w:sz w:val="22"/>
          <w:u w:val="single"/>
        </w:rPr>
        <w:t>Justices ruled</w:t>
      </w:r>
      <w:r>
        <w:rPr>
          <w:b w:val="0"/>
          <w:i w:val="0"/>
          <w:smallCaps w:val="0"/>
          <w:strike w:val="0"/>
          <w:sz w:val="16"/>
          <w:u w:val="none"/>
        </w:rPr>
        <w:t xml:space="preserve"> 6-3 that “</w:t>
      </w:r>
      <w:r>
        <w:rPr>
          <w:b w:val="0"/>
          <w:i w:val="0"/>
          <w:smallCaps w:val="0"/>
          <w:strike w:val="0"/>
          <w:sz w:val="22"/>
          <w:highlight w:val="cyan"/>
          <w:u w:val="single"/>
        </w:rPr>
        <w:t xml:space="preserve">the Copyright Act </w:t>
      </w:r>
      <w:r>
        <w:rPr>
          <w:b/>
          <w:i w:val="0"/>
          <w:smallCaps w:val="0"/>
          <w:strike w:val="0"/>
          <w:sz w:val="22"/>
          <w:highlight w:val="cyan"/>
          <w:u w:val="single"/>
        </w:rPr>
        <w:t>entitles a copyright owner to recover damages</w:t>
      </w:r>
      <w:r>
        <w:rPr>
          <w:b w:val="0"/>
          <w:i w:val="0"/>
          <w:smallCaps w:val="0"/>
          <w:strike w:val="0"/>
          <w:sz w:val="22"/>
          <w:u w:val="single"/>
        </w:rPr>
        <w:t xml:space="preserve"> </w:t>
      </w:r>
      <w:r>
        <w:rPr>
          <w:b w:val="0"/>
          <w:i w:val="0"/>
          <w:smallCaps w:val="0"/>
          <w:strike w:val="0"/>
          <w:sz w:val="22"/>
          <w:highlight w:val="cyan"/>
          <w:u w:val="single"/>
        </w:rPr>
        <w:t>for</w:t>
      </w:r>
      <w:r>
        <w:rPr>
          <w:b w:val="0"/>
          <w:i w:val="0"/>
          <w:smallCaps w:val="0"/>
          <w:strike w:val="0"/>
          <w:sz w:val="22"/>
          <w:u w:val="single"/>
        </w:rPr>
        <w:t xml:space="preserve"> any timely </w:t>
      </w:r>
      <w:r>
        <w:rPr>
          <w:b w:val="0"/>
          <w:i w:val="0"/>
          <w:smallCaps w:val="0"/>
          <w:strike w:val="0"/>
          <w:sz w:val="22"/>
          <w:highlight w:val="cyan"/>
          <w:u w:val="single"/>
        </w:rPr>
        <w:t>claim</w:t>
      </w:r>
      <w:r>
        <w:rPr>
          <w:b w:val="0"/>
          <w:i w:val="0"/>
          <w:smallCaps w:val="0"/>
          <w:strike w:val="0"/>
          <w:sz w:val="16"/>
          <w:u w:val="none"/>
        </w:rPr>
        <w:t xml:space="preserve">,” </w:t>
      </w:r>
      <w:r>
        <w:rPr>
          <w:b w:val="0"/>
          <w:i w:val="0"/>
          <w:smallCaps w:val="0"/>
          <w:strike w:val="0"/>
          <w:sz w:val="22"/>
          <w:u w:val="single"/>
        </w:rPr>
        <w:t xml:space="preserve">with </w:t>
      </w:r>
      <w:r>
        <w:rPr>
          <w:b w:val="0"/>
          <w:i w:val="0"/>
          <w:smallCaps w:val="0"/>
          <w:strike w:val="0"/>
          <w:sz w:val="22"/>
          <w:highlight w:val="cyan"/>
          <w:u w:val="single"/>
        </w:rPr>
        <w:t xml:space="preserve">no limit preventing </w:t>
      </w:r>
      <w:r>
        <w:rPr>
          <w:b/>
          <w:i w:val="0"/>
          <w:smallCaps w:val="0"/>
          <w:strike w:val="0"/>
          <w:sz w:val="22"/>
          <w:highlight w:val="cyan"/>
          <w:u w:val="single"/>
        </w:rPr>
        <w:t>recovery for infringement</w:t>
      </w:r>
      <w:r>
        <w:rPr>
          <w:b w:val="0"/>
          <w:i w:val="0"/>
          <w:smallCaps w:val="0"/>
          <w:strike w:val="0"/>
          <w:sz w:val="22"/>
          <w:u w:val="single"/>
        </w:rPr>
        <w:t xml:space="preserve"> that happened</w:t>
      </w:r>
      <w:r>
        <w:rPr>
          <w:b w:val="0"/>
          <w:i w:val="0"/>
          <w:smallCaps w:val="0"/>
          <w:strike w:val="0"/>
          <w:sz w:val="16"/>
          <w:u w:val="none"/>
        </w:rPr>
        <w:t xml:space="preserve"> beyond three years. As to </w:t>
      </w:r>
      <w:r>
        <w:rPr>
          <w:b w:val="0"/>
          <w:i w:val="0"/>
          <w:smallCaps w:val="0"/>
          <w:strike w:val="0"/>
          <w:sz w:val="22"/>
          <w:u w:val="single"/>
        </w:rPr>
        <w:t>the issue of when a claim for infringement</w:t>
      </w:r>
      <w:r>
        <w:rPr>
          <w:b w:val="0"/>
          <w:i w:val="0"/>
          <w:smallCaps w:val="0"/>
          <w:strike w:val="0"/>
          <w:sz w:val="16"/>
          <w:u w:val="none"/>
        </w:rPr>
        <w:t xml:space="preserve"> “</w:t>
      </w:r>
      <w:r>
        <w:rPr>
          <w:b w:val="0"/>
          <w:i w:val="0"/>
          <w:smallCaps w:val="0"/>
          <w:strike w:val="0"/>
          <w:sz w:val="22"/>
          <w:u w:val="single"/>
        </w:rPr>
        <w:t>accrues</w:t>
      </w:r>
      <w:r>
        <w:rPr>
          <w:b w:val="0"/>
          <w:i w:val="0"/>
          <w:smallCaps w:val="0"/>
          <w:strike w:val="0"/>
          <w:sz w:val="16"/>
          <w:u w:val="none"/>
        </w:rPr>
        <w:t xml:space="preserve">,” </w:t>
      </w:r>
      <w:r>
        <w:rPr>
          <w:b w:val="0"/>
          <w:i w:val="0"/>
          <w:smallCaps w:val="0"/>
          <w:strike w:val="0"/>
          <w:sz w:val="22"/>
          <w:highlight w:val="cyan"/>
          <w:u w:val="single"/>
        </w:rPr>
        <w:t>the Court said it</w:t>
      </w:r>
      <w:r>
        <w:rPr>
          <w:b w:val="0"/>
          <w:i w:val="0"/>
          <w:smallCaps w:val="0"/>
          <w:strike w:val="0"/>
          <w:sz w:val="16"/>
          <w:u w:val="none"/>
        </w:rPr>
        <w:t xml:space="preserve"> “</w:t>
      </w:r>
      <w:r>
        <w:rPr>
          <w:b/>
          <w:i w:val="0"/>
          <w:smallCaps w:val="0"/>
          <w:strike w:val="0"/>
          <w:sz w:val="22"/>
          <w:highlight w:val="cyan"/>
          <w:u w:val="single"/>
        </w:rPr>
        <w:t>assumes without deciding</w:t>
      </w:r>
      <w:r>
        <w:rPr>
          <w:b w:val="0"/>
          <w:i w:val="0"/>
          <w:smallCaps w:val="0"/>
          <w:strike w:val="0"/>
          <w:sz w:val="16"/>
          <w:u w:val="none"/>
        </w:rPr>
        <w:t xml:space="preserve">” that </w:t>
      </w:r>
      <w:r>
        <w:rPr>
          <w:b w:val="0"/>
          <w:i w:val="0"/>
          <w:smallCaps w:val="0"/>
          <w:strike w:val="0"/>
          <w:sz w:val="22"/>
          <w:u w:val="single"/>
        </w:rPr>
        <w:t>accrual</w:t>
      </w:r>
      <w:r>
        <w:rPr>
          <w:b w:val="0"/>
          <w:i w:val="0"/>
          <w:smallCaps w:val="0"/>
          <w:strike w:val="0"/>
          <w:sz w:val="16"/>
          <w:u w:val="none"/>
        </w:rPr>
        <w:t xml:space="preserve"> </w:t>
      </w:r>
      <w:r>
        <w:rPr>
          <w:b/>
          <w:i w:val="0"/>
          <w:smallCaps w:val="0"/>
          <w:strike w:val="0"/>
          <w:sz w:val="22"/>
          <w:u w:val="single"/>
        </w:rPr>
        <w:t>occurs</w:t>
      </w:r>
      <w:r>
        <w:rPr>
          <w:b w:val="0"/>
          <w:i w:val="0"/>
          <w:smallCaps w:val="0"/>
          <w:strike w:val="0"/>
          <w:sz w:val="22"/>
          <w:u w:val="single"/>
        </w:rPr>
        <w:t xml:space="preserve"> upon </w:t>
      </w:r>
      <w:r>
        <w:rPr>
          <w:b/>
          <w:i w:val="0"/>
          <w:smallCaps w:val="0"/>
          <w:strike w:val="0"/>
          <w:sz w:val="22"/>
          <w:u w:val="single"/>
        </w:rPr>
        <w:t>discovery</w:t>
      </w:r>
      <w:r>
        <w:rPr>
          <w:b w:val="0"/>
          <w:i w:val="0"/>
          <w:smallCaps w:val="0"/>
          <w:strike w:val="0"/>
          <w:sz w:val="22"/>
          <w:u w:val="single"/>
        </w:rPr>
        <w:t xml:space="preserve"> of the </w:t>
      </w:r>
      <w:r>
        <w:rPr>
          <w:b/>
          <w:i w:val="0"/>
          <w:smallCaps w:val="0"/>
          <w:strike w:val="0"/>
          <w:sz w:val="22"/>
          <w:u w:val="single"/>
        </w:rPr>
        <w:t>infringement</w:t>
      </w:r>
      <w:r>
        <w:rPr>
          <w:b w:val="0"/>
          <w:i w:val="0"/>
          <w:smallCaps w:val="0"/>
          <w:strike w:val="0"/>
          <w:sz w:val="16"/>
          <w:u w:val="none"/>
        </w:rPr>
        <w:t>.</w:t>
      </w:r>
    </w:p>
    <w:p>
      <w:pPr>
        <w:spacing w:after="60"/>
      </w:pPr>
      <w:r>
        <w:rPr>
          <w:b w:val="0"/>
          <w:i w:val="0"/>
          <w:smallCaps w:val="0"/>
          <w:strike w:val="0"/>
          <w:sz w:val="16"/>
          <w:u w:val="none"/>
        </w:rPr>
        <w:t xml:space="preserve">The </w:t>
      </w:r>
      <w:r>
        <w:rPr>
          <w:b w:val="0"/>
          <w:i w:val="0"/>
          <w:smallCaps w:val="0"/>
          <w:strike w:val="0"/>
          <w:sz w:val="22"/>
          <w:u w:val="single"/>
        </w:rPr>
        <w:t>case stems from a U.S. Court of Appeals</w:t>
      </w:r>
      <w:r>
        <w:rPr>
          <w:b w:val="0"/>
          <w:i w:val="0"/>
          <w:smallCaps w:val="0"/>
          <w:strike w:val="0"/>
          <w:sz w:val="16"/>
          <w:u w:val="none"/>
        </w:rPr>
        <w:t xml:space="preserve"> for the Eleventh Circuit decision in February 2023 </w:t>
      </w:r>
      <w:r>
        <w:rPr>
          <w:b w:val="0"/>
          <w:i w:val="0"/>
          <w:smallCaps w:val="0"/>
          <w:strike w:val="0"/>
          <w:sz w:val="22"/>
          <w:highlight w:val="cyan"/>
          <w:u w:val="single"/>
        </w:rPr>
        <w:t>that held that the</w:t>
      </w:r>
      <w:r>
        <w:rPr>
          <w:b w:val="0"/>
          <w:i w:val="0"/>
          <w:smallCaps w:val="0"/>
          <w:strike w:val="0"/>
          <w:sz w:val="22"/>
          <w:u w:val="single"/>
        </w:rPr>
        <w:t xml:space="preserve"> </w:t>
      </w:r>
      <w:r>
        <w:rPr>
          <w:b/>
          <w:i w:val="0"/>
          <w:smallCaps w:val="0"/>
          <w:strike w:val="0"/>
          <w:sz w:val="22"/>
          <w:highlight w:val="cyan"/>
          <w:u w:val="single"/>
        </w:rPr>
        <w:t>discovery</w:t>
      </w:r>
      <w:r>
        <w:rPr>
          <w:b/>
          <w:i w:val="0"/>
          <w:smallCaps w:val="0"/>
          <w:strike w:val="0"/>
          <w:sz w:val="22"/>
          <w:u w:val="single"/>
        </w:rPr>
        <w:t xml:space="preserve"> </w:t>
      </w:r>
      <w:r>
        <w:rPr>
          <w:b/>
          <w:i w:val="0"/>
          <w:smallCaps w:val="0"/>
          <w:strike w:val="0"/>
          <w:sz w:val="22"/>
          <w:highlight w:val="cyan"/>
          <w:u w:val="single"/>
        </w:rPr>
        <w:t>accrual rule</w:t>
      </w:r>
      <w:r>
        <w:rPr>
          <w:b w:val="0"/>
          <w:i w:val="0"/>
          <w:smallCaps w:val="0"/>
          <w:strike w:val="0"/>
          <w:sz w:val="22"/>
          <w:highlight w:val="cyan"/>
          <w:u w:val="single"/>
        </w:rPr>
        <w:t xml:space="preserve"> </w:t>
      </w:r>
      <w:r>
        <w:rPr>
          <w:b/>
          <w:i w:val="0"/>
          <w:smallCaps w:val="0"/>
          <w:strike w:val="0"/>
          <w:sz w:val="22"/>
          <w:highlight w:val="cyan"/>
          <w:u w:val="single"/>
        </w:rPr>
        <w:t>allows plaintiffs</w:t>
      </w:r>
      <w:r>
        <w:rPr>
          <w:b w:val="0"/>
          <w:i w:val="0"/>
          <w:smallCaps w:val="0"/>
          <w:strike w:val="0"/>
          <w:sz w:val="22"/>
          <w:u w:val="single"/>
        </w:rPr>
        <w:t xml:space="preserve"> </w:t>
      </w:r>
      <w:r>
        <w:rPr>
          <w:b w:val="0"/>
          <w:i w:val="0"/>
          <w:smallCaps w:val="0"/>
          <w:strike w:val="0"/>
          <w:sz w:val="22"/>
          <w:highlight w:val="cyan"/>
          <w:u w:val="single"/>
        </w:rPr>
        <w:t xml:space="preserve">to </w:t>
      </w:r>
      <w:r>
        <w:rPr>
          <w:b/>
          <w:i w:val="0"/>
          <w:smallCaps w:val="0"/>
          <w:strike w:val="0"/>
          <w:sz w:val="22"/>
          <w:highlight w:val="cyan"/>
          <w:u w:val="single"/>
        </w:rPr>
        <w:t>collect retrospective</w:t>
      </w:r>
      <w:r>
        <w:rPr>
          <w:b w:val="0"/>
          <w:i w:val="0"/>
          <w:smallCaps w:val="0"/>
          <w:strike w:val="0"/>
          <w:sz w:val="22"/>
          <w:highlight w:val="cyan"/>
          <w:u w:val="single"/>
        </w:rPr>
        <w:t xml:space="preserve"> </w:t>
      </w:r>
      <w:r>
        <w:rPr>
          <w:b/>
          <w:i w:val="0"/>
          <w:smallCaps w:val="0"/>
          <w:strike w:val="0"/>
          <w:sz w:val="22"/>
          <w:highlight w:val="cyan"/>
          <w:u w:val="single"/>
        </w:rPr>
        <w:t>relief</w:t>
      </w:r>
      <w:r>
        <w:rPr>
          <w:b w:val="0"/>
          <w:i w:val="0"/>
          <w:smallCaps w:val="0"/>
          <w:strike w:val="0"/>
          <w:sz w:val="22"/>
          <w:u w:val="single"/>
        </w:rPr>
        <w:t xml:space="preserve"> for </w:t>
      </w:r>
      <w:r>
        <w:rPr>
          <w:b/>
          <w:i w:val="0"/>
          <w:smallCaps w:val="0"/>
          <w:strike w:val="0"/>
          <w:sz w:val="22"/>
          <w:u w:val="single"/>
        </w:rPr>
        <w:t>infringements</w:t>
      </w:r>
      <w:r>
        <w:rPr>
          <w:b w:val="0"/>
          <w:i w:val="0"/>
          <w:smallCaps w:val="0"/>
          <w:strike w:val="0"/>
          <w:sz w:val="22"/>
          <w:u w:val="single"/>
        </w:rPr>
        <w:t xml:space="preserve"> </w:t>
      </w:r>
      <w:r>
        <w:rPr>
          <w:b/>
          <w:i w:val="0"/>
          <w:smallCaps w:val="0"/>
          <w:strike w:val="0"/>
          <w:sz w:val="22"/>
          <w:u w:val="single"/>
        </w:rPr>
        <w:t>occurring outside</w:t>
      </w:r>
      <w:r>
        <w:rPr>
          <w:b w:val="0"/>
          <w:i w:val="0"/>
          <w:smallCaps w:val="0"/>
          <w:strike w:val="0"/>
          <w:sz w:val="22"/>
          <w:u w:val="single"/>
        </w:rPr>
        <w:t xml:space="preserve"> of the </w:t>
      </w:r>
      <w:r>
        <w:rPr>
          <w:b/>
          <w:i w:val="0"/>
          <w:smallCaps w:val="0"/>
          <w:strike w:val="0"/>
          <w:sz w:val="22"/>
          <w:u w:val="single"/>
        </w:rPr>
        <w:t>Copyright Act’s three-year</w:t>
      </w:r>
      <w:r>
        <w:rPr>
          <w:b w:val="0"/>
          <w:i w:val="0"/>
          <w:smallCaps w:val="0"/>
          <w:strike w:val="0"/>
          <w:sz w:val="22"/>
          <w:u w:val="single"/>
        </w:rPr>
        <w:t xml:space="preserve"> </w:t>
      </w:r>
      <w:r>
        <w:rPr>
          <w:b/>
          <w:i w:val="0"/>
          <w:smallCaps w:val="0"/>
          <w:strike w:val="0"/>
          <w:sz w:val="22"/>
          <w:u w:val="single"/>
        </w:rPr>
        <w:t>limit</w:t>
      </w:r>
      <w:r>
        <w:rPr>
          <w:b w:val="0"/>
          <w:i w:val="0"/>
          <w:smallCaps w:val="0"/>
          <w:strike w:val="0"/>
          <w:sz w:val="22"/>
          <w:u w:val="single"/>
        </w:rPr>
        <w:t xml:space="preserve"> against civil actions for infringement claims</w:t>
      </w:r>
      <w:r>
        <w:rPr>
          <w:b w:val="0"/>
          <w:i w:val="0"/>
          <w:smallCaps w:val="0"/>
          <w:strike w:val="0"/>
          <w:sz w:val="16"/>
          <w:u w:val="none"/>
        </w:rPr>
        <w:t>, codified at 17 U.S.C. § 507(b). The appellate court found that the plain language of Section 507, which requires that an action commence “within three years after the claim accrued,” does not impose a limitation on recovery for claims that are timely under the discovery accrual rule.</w:t>
      </w:r>
    </w:p>
    <w:p>
      <w:pPr>
        <w:spacing w:after="60"/>
      </w:pPr>
      <w:r>
        <w:rPr>
          <w:b w:val="0"/>
          <w:i w:val="0"/>
          <w:smallCaps w:val="0"/>
          <w:strike w:val="0"/>
          <w:sz w:val="16"/>
          <w:u w:val="none"/>
        </w:rPr>
        <w:t xml:space="preserve">Warner </w:t>
      </w:r>
      <w:r>
        <w:rPr>
          <w:b w:val="0"/>
          <w:i w:val="0"/>
          <w:smallCaps w:val="0"/>
          <w:strike w:val="0"/>
          <w:sz w:val="22"/>
          <w:u w:val="single"/>
        </w:rPr>
        <w:t>Chappell</w:t>
      </w:r>
      <w:r>
        <w:rPr>
          <w:b w:val="0"/>
          <w:i w:val="0"/>
          <w:smallCaps w:val="0"/>
          <w:strike w:val="0"/>
          <w:sz w:val="16"/>
          <w:u w:val="none"/>
        </w:rPr>
        <w:t xml:space="preserve"> </w:t>
      </w:r>
      <w:r>
        <w:rPr>
          <w:b w:val="0"/>
          <w:i w:val="0"/>
          <w:smallCaps w:val="0"/>
          <w:strike w:val="0"/>
          <w:sz w:val="22"/>
          <w:u w:val="single"/>
        </w:rPr>
        <w:t>petitioned the Supreme Court in September 2023 and argued that the Eleventh</w:t>
      </w:r>
      <w:r>
        <w:rPr>
          <w:b w:val="0"/>
          <w:i w:val="0"/>
          <w:smallCaps w:val="0"/>
          <w:strike w:val="0"/>
          <w:sz w:val="16"/>
          <w:u w:val="none"/>
        </w:rPr>
        <w:t xml:space="preserve"> </w:t>
      </w:r>
      <w:r>
        <w:rPr>
          <w:b w:val="0"/>
          <w:i w:val="0"/>
          <w:smallCaps w:val="0"/>
          <w:strike w:val="0"/>
          <w:sz w:val="22"/>
          <w:u w:val="single"/>
        </w:rPr>
        <w:t>Circuit’s decision deepened a circuit split on the application of the discovery accrual rule to Section</w:t>
      </w:r>
      <w:r>
        <w:rPr>
          <w:b w:val="0"/>
          <w:i w:val="0"/>
          <w:smallCaps w:val="0"/>
          <w:strike w:val="0"/>
          <w:sz w:val="16"/>
          <w:u w:val="none"/>
        </w:rPr>
        <w:t xml:space="preserve"> </w:t>
      </w:r>
      <w:r>
        <w:rPr>
          <w:b w:val="0"/>
          <w:i w:val="0"/>
          <w:smallCaps w:val="0"/>
          <w:strike w:val="0"/>
          <w:sz w:val="22"/>
          <w:u w:val="single"/>
        </w:rPr>
        <w:t>507</w:t>
      </w:r>
      <w:r>
        <w:rPr>
          <w:b w:val="0"/>
          <w:i w:val="0"/>
          <w:smallCaps w:val="0"/>
          <w:strike w:val="0"/>
          <w:sz w:val="16"/>
          <w:u w:val="none"/>
        </w:rPr>
        <w:t>(b). The rule tolls the statute of limitations until the date that the plaintiff copyright owner could have reasonably discovered the infringement with due diligence. While the Eleventh Circuit joined the Ninth Circuit in determining that the three-year recovery period begins from the date of the claim’s accrual, the Second Circuit has ruled in cases like Sohm v. Scholastic (2020) that recovery begins from the date that the lawsuit was filed, even when the discovery rule tolls the statute.</w:t>
      </w:r>
    </w:p>
    <w:p>
      <w:pPr>
        <w:spacing w:after="60"/>
      </w:pPr>
      <w:r>
        <w:rPr>
          <w:b w:val="0"/>
          <w:i w:val="0"/>
          <w:smallCaps w:val="0"/>
          <w:strike w:val="0"/>
          <w:sz w:val="16"/>
          <w:u w:val="none"/>
        </w:rPr>
        <w:t xml:space="preserve">More than a dozen amici weighed in, including the U.S. Solicitor General, who participated in the February oral arguments. The Solicitor General backed Nealy and urged the Court to affirm the Eleventh Circuit’s interpretation of the High Court’s ruling in Petrella v. Metro-Goldwyn-Mayer (2013) over competing interpretations in the Second Circuit. Petrella is at the heart of the circuit split on the discovery accrual rule and focused on the application of equitable laches to claims filed within the Copyright Act’s statute of limitations. Since Petrella, </w:t>
      </w:r>
      <w:r>
        <w:rPr>
          <w:b w:val="0"/>
          <w:i w:val="0"/>
          <w:smallCaps w:val="0"/>
          <w:strike w:val="0"/>
          <w:sz w:val="22"/>
          <w:u w:val="single"/>
        </w:rPr>
        <w:t>circuit courts have been left to interpret whether Petrella’s holding requires strict adherence to the three-year limitation on recovery in cases where the discovery accrual rule applies</w:t>
      </w:r>
      <w:r>
        <w:rPr>
          <w:b w:val="0"/>
          <w:i w:val="0"/>
          <w:smallCaps w:val="0"/>
          <w:strike w:val="0"/>
          <w:sz w:val="16"/>
          <w:u w:val="none"/>
        </w:rPr>
        <w:t>.</w:t>
      </w:r>
    </w:p>
    <w:p>
      <w:pPr>
        <w:spacing w:after="60"/>
      </w:pPr>
      <w:r>
        <w:rPr>
          <w:b w:val="0"/>
          <w:i w:val="0"/>
          <w:smallCaps w:val="0"/>
          <w:strike w:val="0"/>
          <w:sz w:val="22"/>
          <w:u w:val="single"/>
        </w:rPr>
        <w:t>The Court in today’s decision explained that its decision in Petrella does not support a three-year damages cap</w:t>
      </w:r>
      <w:r>
        <w:rPr>
          <w:b w:val="0"/>
          <w:i w:val="0"/>
          <w:smallCaps w:val="0"/>
          <w:strike w:val="0"/>
          <w:sz w:val="16"/>
          <w:u w:val="none"/>
        </w:rPr>
        <w:t xml:space="preserve">. </w:t>
      </w:r>
      <w:r>
        <w:rPr>
          <w:b w:val="0"/>
          <w:i w:val="0"/>
          <w:smallCaps w:val="0"/>
          <w:strike w:val="0"/>
          <w:sz w:val="22"/>
          <w:u w:val="single"/>
        </w:rPr>
        <w:t>The opinion explained</w:t>
      </w:r>
      <w:r>
        <w:rPr>
          <w:b w:val="0"/>
          <w:i w:val="0"/>
          <w:smallCaps w:val="0"/>
          <w:strike w:val="0"/>
          <w:sz w:val="16"/>
          <w:u w:val="none"/>
        </w:rPr>
        <w:t>:</w:t>
      </w:r>
    </w:p>
    <w:p>
      <w:pPr>
        <w:spacing w:after="60"/>
      </w:pPr>
      <w:r>
        <w:rPr>
          <w:b w:val="0"/>
          <w:i w:val="0"/>
          <w:smallCaps w:val="0"/>
          <w:strike w:val="0"/>
          <w:sz w:val="16"/>
          <w:u w:val="none"/>
        </w:rPr>
        <w:t xml:space="preserve">“There, </w:t>
      </w:r>
      <w:r>
        <w:rPr>
          <w:b w:val="0"/>
          <w:i w:val="0"/>
          <w:smallCaps w:val="0"/>
          <w:strike w:val="0"/>
          <w:sz w:val="22"/>
          <w:u w:val="single"/>
        </w:rPr>
        <w:t xml:space="preserve">the </w:t>
      </w:r>
      <w:r>
        <w:rPr>
          <w:b w:val="0"/>
          <w:i w:val="0"/>
          <w:smallCaps w:val="0"/>
          <w:strike w:val="0"/>
          <w:sz w:val="22"/>
          <w:highlight w:val="cyan"/>
          <w:u w:val="single"/>
        </w:rPr>
        <w:t xml:space="preserve">Court noted that the </w:t>
      </w:r>
      <w:r>
        <w:rPr>
          <w:b/>
          <w:i w:val="0"/>
          <w:smallCaps w:val="0"/>
          <w:strike w:val="0"/>
          <w:sz w:val="22"/>
          <w:highlight w:val="cyan"/>
          <w:u w:val="single"/>
        </w:rPr>
        <w:t>Copyright Act’s statute</w:t>
      </w:r>
      <w:r>
        <w:rPr>
          <w:b w:val="0"/>
          <w:i w:val="0"/>
          <w:smallCaps w:val="0"/>
          <w:strike w:val="0"/>
          <w:sz w:val="22"/>
          <w:highlight w:val="cyan"/>
          <w:u w:val="single"/>
        </w:rPr>
        <w:t xml:space="preserve"> of </w:t>
      </w:r>
      <w:r>
        <w:rPr>
          <w:b/>
          <w:i w:val="0"/>
          <w:smallCaps w:val="0"/>
          <w:strike w:val="0"/>
          <w:sz w:val="22"/>
          <w:highlight w:val="cyan"/>
          <w:u w:val="single"/>
        </w:rPr>
        <w:t>limitations</w:t>
      </w:r>
      <w:r>
        <w:rPr>
          <w:b w:val="0"/>
          <w:i w:val="0"/>
          <w:smallCaps w:val="0"/>
          <w:strike w:val="0"/>
          <w:sz w:val="22"/>
          <w:u w:val="single"/>
        </w:rPr>
        <w:t xml:space="preserve"> allows </w:t>
      </w:r>
      <w:r>
        <w:rPr>
          <w:b/>
          <w:i w:val="0"/>
          <w:smallCaps w:val="0"/>
          <w:strike w:val="0"/>
          <w:sz w:val="22"/>
          <w:u w:val="single"/>
        </w:rPr>
        <w:t>plaintiffs</w:t>
      </w:r>
      <w:r>
        <w:rPr>
          <w:b w:val="0"/>
          <w:i w:val="0"/>
          <w:smallCaps w:val="0"/>
          <w:strike w:val="0"/>
          <w:sz w:val="16"/>
          <w:u w:val="none"/>
        </w:rPr>
        <w:t xml:space="preserve"> “</w:t>
      </w:r>
      <w:r>
        <w:rPr>
          <w:b w:val="0"/>
          <w:i w:val="0"/>
          <w:smallCaps w:val="0"/>
          <w:strike w:val="0"/>
          <w:sz w:val="22"/>
          <w:u w:val="single"/>
        </w:rPr>
        <w:t>to gain retrospective relief running only three years back from</w:t>
      </w:r>
      <w:r>
        <w:rPr>
          <w:b w:val="0"/>
          <w:i w:val="0"/>
          <w:smallCaps w:val="0"/>
          <w:strike w:val="0"/>
          <w:sz w:val="16"/>
          <w:u w:val="none"/>
        </w:rPr>
        <w:t xml:space="preserve">” </w:t>
      </w:r>
      <w:r>
        <w:rPr>
          <w:b w:val="0"/>
          <w:i w:val="0"/>
          <w:smallCaps w:val="0"/>
          <w:strike w:val="0"/>
          <w:sz w:val="22"/>
          <w:highlight w:val="cyan"/>
          <w:u w:val="single"/>
        </w:rPr>
        <w:t xml:space="preserve">the </w:t>
      </w:r>
      <w:r>
        <w:rPr>
          <w:b/>
          <w:i w:val="0"/>
          <w:smallCaps w:val="0"/>
          <w:strike w:val="0"/>
          <w:sz w:val="22"/>
          <w:highlight w:val="cyan"/>
          <w:u w:val="single"/>
        </w:rPr>
        <w:t>filing of a suit</w:t>
      </w:r>
      <w:r>
        <w:rPr>
          <w:b w:val="0"/>
          <w:i w:val="0"/>
          <w:smallCaps w:val="0"/>
          <w:strike w:val="0"/>
          <w:sz w:val="16"/>
          <w:u w:val="none"/>
        </w:rPr>
        <w:t xml:space="preserve">…. </w:t>
      </w:r>
      <w:r>
        <w:rPr>
          <w:b w:val="0"/>
          <w:i w:val="0"/>
          <w:smallCaps w:val="0"/>
          <w:strike w:val="0"/>
          <w:sz w:val="22"/>
          <w:u w:val="single"/>
        </w:rPr>
        <w:t>Taken out of context</w:t>
      </w:r>
      <w:r>
        <w:rPr>
          <w:b w:val="0"/>
          <w:i w:val="0"/>
          <w:smallCaps w:val="0"/>
          <w:strike w:val="0"/>
          <w:sz w:val="16"/>
          <w:u w:val="none"/>
        </w:rPr>
        <w:t xml:space="preserve">, that </w:t>
      </w:r>
      <w:r>
        <w:rPr>
          <w:b w:val="0"/>
          <w:i w:val="0"/>
          <w:smallCaps w:val="0"/>
          <w:strike w:val="0"/>
          <w:sz w:val="22"/>
          <w:u w:val="single"/>
        </w:rPr>
        <w:t>line might seem to address the issue here</w:t>
      </w:r>
      <w:r>
        <w:rPr>
          <w:b w:val="0"/>
          <w:i w:val="0"/>
          <w:smallCaps w:val="0"/>
          <w:strike w:val="0"/>
          <w:sz w:val="16"/>
          <w:u w:val="none"/>
        </w:rPr>
        <w:t xml:space="preserve">. But </w:t>
      </w:r>
      <w:r>
        <w:rPr>
          <w:b w:val="0"/>
          <w:i w:val="0"/>
          <w:smallCaps w:val="0"/>
          <w:strike w:val="0"/>
          <w:sz w:val="22"/>
          <w:u w:val="single"/>
        </w:rPr>
        <w:t xml:space="preserve">that statement merely described how </w:t>
      </w:r>
      <w:r>
        <w:rPr>
          <w:b w:val="0"/>
          <w:i w:val="0"/>
          <w:smallCaps w:val="0"/>
          <w:strike w:val="0"/>
          <w:sz w:val="22"/>
          <w:u w:val="single"/>
        </w:rPr>
        <w:t>the limitations provision worked in Petrella</w:t>
      </w:r>
      <w:r>
        <w:rPr>
          <w:b w:val="0"/>
          <w:i w:val="0"/>
          <w:smallCaps w:val="0"/>
          <w:strike w:val="0"/>
          <w:sz w:val="16"/>
          <w:u w:val="none"/>
        </w:rPr>
        <w:t xml:space="preserve">, where the plaintiff had long known of the defendant’s infringing conduct and so could not avail herself of the discovery rule to sue for infringing acts more than three years old. </w:t>
      </w:r>
      <w:r>
        <w:rPr>
          <w:b w:val="0"/>
          <w:i w:val="0"/>
          <w:smallCaps w:val="0"/>
          <w:strike w:val="0"/>
          <w:sz w:val="22"/>
          <w:highlight w:val="cyan"/>
          <w:u w:val="single"/>
        </w:rPr>
        <w:t xml:space="preserve">The Court did not </w:t>
      </w:r>
      <w:r>
        <w:rPr>
          <w:b/>
          <w:i w:val="0"/>
          <w:smallCaps w:val="0"/>
          <w:strike w:val="0"/>
          <w:sz w:val="22"/>
          <w:highlight w:val="cyan"/>
          <w:u w:val="single"/>
        </w:rPr>
        <w:t>go beyond the case’s facts</w:t>
      </w:r>
      <w:r>
        <w:rPr>
          <w:b w:val="0"/>
          <w:i w:val="0"/>
          <w:smallCaps w:val="0"/>
          <w:strike w:val="0"/>
          <w:sz w:val="22"/>
          <w:u w:val="single"/>
        </w:rPr>
        <w:t xml:space="preserve"> to say that even if the limitations provision allows a claim for an </w:t>
      </w:r>
      <w:r>
        <w:rPr>
          <w:b/>
          <w:i w:val="0"/>
          <w:smallCaps w:val="0"/>
          <w:strike w:val="0"/>
          <w:sz w:val="22"/>
          <w:u w:val="single"/>
        </w:rPr>
        <w:t>earlier infringement</w:t>
      </w:r>
      <w:r>
        <w:rPr>
          <w:b w:val="0"/>
          <w:i w:val="0"/>
          <w:smallCaps w:val="0"/>
          <w:strike w:val="0"/>
          <w:sz w:val="16"/>
          <w:u w:val="none"/>
        </w:rPr>
        <w:t xml:space="preserve">, </w:t>
      </w:r>
      <w:r>
        <w:rPr>
          <w:b w:val="0"/>
          <w:i w:val="0"/>
          <w:smallCaps w:val="0"/>
          <w:strike w:val="0"/>
          <w:sz w:val="22"/>
          <w:highlight w:val="cyan"/>
          <w:u w:val="single"/>
        </w:rPr>
        <w:t>the</w:t>
      </w:r>
      <w:r>
        <w:rPr>
          <w:b w:val="0"/>
          <w:i w:val="0"/>
          <w:smallCaps w:val="0"/>
          <w:strike w:val="0"/>
          <w:sz w:val="16"/>
          <w:highlight w:val="cyan"/>
          <w:u w:val="none"/>
        </w:rPr>
        <w:t xml:space="preserve"> </w:t>
      </w:r>
      <w:r>
        <w:rPr>
          <w:b w:val="0"/>
          <w:i w:val="0"/>
          <w:smallCaps w:val="0"/>
          <w:strike w:val="0"/>
          <w:sz w:val="22"/>
          <w:highlight w:val="cyan"/>
          <w:u w:val="single"/>
        </w:rPr>
        <w:t xml:space="preserve">plaintiff may not </w:t>
      </w:r>
      <w:r>
        <w:rPr>
          <w:b/>
          <w:i w:val="0"/>
          <w:smallCaps w:val="0"/>
          <w:strike w:val="0"/>
          <w:sz w:val="22"/>
          <w:highlight w:val="cyan"/>
          <w:u w:val="single"/>
        </w:rPr>
        <w:t>obtain</w:t>
      </w:r>
      <w:r>
        <w:rPr>
          <w:b/>
          <w:i w:val="0"/>
          <w:smallCaps w:val="0"/>
          <w:strike w:val="0"/>
          <w:sz w:val="22"/>
          <w:u w:val="single"/>
        </w:rPr>
        <w:t xml:space="preserve"> </w:t>
      </w:r>
      <w:r>
        <w:rPr>
          <w:b/>
          <w:i w:val="0"/>
          <w:smallCaps w:val="0"/>
          <w:strike w:val="0"/>
          <w:sz w:val="22"/>
          <w:highlight w:val="cyan"/>
          <w:u w:val="single"/>
        </w:rPr>
        <w:t>monetary relief</w:t>
      </w:r>
      <w:r>
        <w:rPr>
          <w:b w:val="0"/>
          <w:i w:val="0"/>
          <w:smallCaps w:val="0"/>
          <w:strike w:val="0"/>
          <w:sz w:val="16"/>
          <w:u w:val="none"/>
        </w:rPr>
        <w:t>.”</w:t>
      </w:r>
    </w:p>
    <w:p>
      <w:pPr>
        <w:spacing w:after="60"/>
      </w:pPr>
      <w:r>
        <w:rPr>
          <w:b w:val="0"/>
          <w:i w:val="0"/>
          <w:smallCaps w:val="0"/>
          <w:strike w:val="0"/>
          <w:sz w:val="22"/>
          <w:u w:val="single"/>
        </w:rPr>
        <w:t>The Court</w:t>
      </w:r>
      <w:r>
        <w:rPr>
          <w:b w:val="0"/>
          <w:i w:val="0"/>
          <w:smallCaps w:val="0"/>
          <w:strike w:val="0"/>
          <w:sz w:val="16"/>
          <w:u w:val="none"/>
        </w:rPr>
        <w:t xml:space="preserve"> also </w:t>
      </w:r>
      <w:r>
        <w:rPr>
          <w:b w:val="0"/>
          <w:i w:val="0"/>
          <w:smallCaps w:val="0"/>
          <w:strike w:val="0"/>
          <w:sz w:val="22"/>
          <w:u w:val="single"/>
        </w:rPr>
        <w:t>said</w:t>
      </w:r>
      <w:r>
        <w:rPr>
          <w:b w:val="0"/>
          <w:i w:val="0"/>
          <w:smallCaps w:val="0"/>
          <w:strike w:val="0"/>
          <w:sz w:val="16"/>
          <w:u w:val="none"/>
        </w:rPr>
        <w:t xml:space="preserve"> that it </w:t>
      </w:r>
      <w:r>
        <w:rPr>
          <w:b w:val="0"/>
          <w:i w:val="0"/>
          <w:smallCaps w:val="0"/>
          <w:strike w:val="0"/>
          <w:sz w:val="22"/>
          <w:u w:val="single"/>
        </w:rPr>
        <w:t>chose not to decide</w:t>
      </w:r>
      <w:r>
        <w:rPr>
          <w:b w:val="0"/>
          <w:i w:val="0"/>
          <w:smallCaps w:val="0"/>
          <w:strike w:val="0"/>
          <w:sz w:val="16"/>
          <w:u w:val="none"/>
        </w:rPr>
        <w:t xml:space="preserve"> “</w:t>
      </w:r>
      <w:r>
        <w:rPr>
          <w:b w:val="0"/>
          <w:i w:val="0"/>
          <w:smallCaps w:val="0"/>
          <w:strike w:val="0"/>
          <w:sz w:val="22"/>
          <w:u w:val="single"/>
        </w:rPr>
        <w:t xml:space="preserve">whether a copyright claim </w:t>
      </w:r>
      <w:r>
        <w:rPr>
          <w:b/>
          <w:i w:val="0"/>
          <w:smallCaps w:val="0"/>
          <w:strike w:val="0"/>
          <w:sz w:val="22"/>
          <w:u w:val="single"/>
        </w:rPr>
        <w:t>accrues when a plaintiff</w:t>
      </w:r>
      <w:r>
        <w:rPr>
          <w:b w:val="0"/>
          <w:i w:val="0"/>
          <w:smallCaps w:val="0"/>
          <w:strike w:val="0"/>
          <w:sz w:val="22"/>
          <w:u w:val="single"/>
        </w:rPr>
        <w:t xml:space="preserve"> </w:t>
      </w:r>
      <w:r>
        <w:rPr>
          <w:b/>
          <w:i w:val="0"/>
          <w:smallCaps w:val="0"/>
          <w:strike w:val="0"/>
          <w:sz w:val="22"/>
          <w:u w:val="single"/>
        </w:rPr>
        <w:t>discovers</w:t>
      </w:r>
      <w:r>
        <w:rPr>
          <w:b w:val="0"/>
          <w:i w:val="0"/>
          <w:smallCaps w:val="0"/>
          <w:strike w:val="0"/>
          <w:sz w:val="22"/>
          <w:u w:val="single"/>
        </w:rPr>
        <w:t xml:space="preserve"> or </w:t>
      </w:r>
      <w:r>
        <w:rPr>
          <w:b w:val="0"/>
          <w:i w:val="0"/>
          <w:smallCaps w:val="0"/>
          <w:strike w:val="0"/>
          <w:sz w:val="22"/>
          <w:highlight w:val="cyan"/>
          <w:u w:val="single"/>
        </w:rPr>
        <w:t xml:space="preserve">should have </w:t>
      </w:r>
      <w:r>
        <w:rPr>
          <w:b/>
          <w:i w:val="0"/>
          <w:smallCaps w:val="0"/>
          <w:strike w:val="0"/>
          <w:sz w:val="22"/>
          <w:highlight w:val="cyan"/>
          <w:u w:val="single"/>
        </w:rPr>
        <w:t>discovered an infringement</w:t>
      </w:r>
      <w:r>
        <w:rPr>
          <w:b w:val="0"/>
          <w:i w:val="0"/>
          <w:smallCaps w:val="0"/>
          <w:strike w:val="0"/>
          <w:sz w:val="22"/>
          <w:u w:val="single"/>
        </w:rPr>
        <w:t xml:space="preserve">, </w:t>
      </w:r>
      <w:r>
        <w:rPr>
          <w:b w:val="0"/>
          <w:i w:val="0"/>
          <w:smallCaps w:val="0"/>
          <w:strike w:val="0"/>
          <w:sz w:val="22"/>
          <w:highlight w:val="cyan"/>
          <w:u w:val="single"/>
        </w:rPr>
        <w:t xml:space="preserve">rather than when </w:t>
      </w:r>
      <w:r>
        <w:rPr>
          <w:b/>
          <w:i w:val="0"/>
          <w:smallCaps w:val="0"/>
          <w:strike w:val="0"/>
          <w:sz w:val="22"/>
          <w:highlight w:val="cyan"/>
          <w:u w:val="single"/>
        </w:rPr>
        <w:t>the infringement</w:t>
      </w:r>
      <w:r>
        <w:rPr>
          <w:b/>
          <w:i w:val="0"/>
          <w:smallCaps w:val="0"/>
          <w:strike w:val="0"/>
          <w:sz w:val="22"/>
          <w:u w:val="single"/>
        </w:rPr>
        <w:t xml:space="preserve"> </w:t>
      </w:r>
      <w:r>
        <w:rPr>
          <w:b/>
          <w:i w:val="0"/>
          <w:smallCaps w:val="0"/>
          <w:strike w:val="0"/>
          <w:sz w:val="22"/>
          <w:highlight w:val="cyan"/>
          <w:u w:val="single"/>
        </w:rPr>
        <w:t>happened</w:t>
      </w:r>
      <w:r>
        <w:rPr>
          <w:b w:val="0"/>
          <w:i w:val="0"/>
          <w:smallCaps w:val="0"/>
          <w:strike w:val="0"/>
          <w:sz w:val="16"/>
          <w:u w:val="none"/>
        </w:rPr>
        <w:t xml:space="preserve">” because </w:t>
      </w:r>
      <w:r>
        <w:rPr>
          <w:b w:val="0"/>
          <w:i w:val="0"/>
          <w:smallCaps w:val="0"/>
          <w:strike w:val="0"/>
          <w:sz w:val="22"/>
          <w:u w:val="single"/>
        </w:rPr>
        <w:t>the issue was not properly presented in the case</w:t>
      </w:r>
      <w:r>
        <w:rPr>
          <w:b w:val="0"/>
          <w:i w:val="0"/>
          <w:smallCaps w:val="0"/>
          <w:strike w:val="0"/>
          <w:sz w:val="16"/>
          <w:u w:val="none"/>
        </w:rPr>
        <w:t xml:space="preserve">, since Warner </w:t>
      </w:r>
      <w:r>
        <w:rPr>
          <w:b w:val="0"/>
          <w:i w:val="0"/>
          <w:smallCaps w:val="0"/>
          <w:strike w:val="0"/>
          <w:sz w:val="22"/>
          <w:u w:val="single"/>
        </w:rPr>
        <w:t>Chappell</w:t>
      </w:r>
      <w:r>
        <w:rPr>
          <w:b w:val="0"/>
          <w:i w:val="0"/>
          <w:smallCaps w:val="0"/>
          <w:strike w:val="0"/>
          <w:sz w:val="16"/>
          <w:u w:val="none"/>
        </w:rPr>
        <w:t xml:space="preserve"> </w:t>
      </w:r>
      <w:r>
        <w:rPr>
          <w:b w:val="0"/>
          <w:i w:val="0"/>
          <w:smallCaps w:val="0"/>
          <w:strike w:val="0"/>
          <w:sz w:val="22"/>
          <w:u w:val="single"/>
        </w:rPr>
        <w:t>did not challenge the Eleventh Circuit’s use of the discovery rule</w:t>
      </w:r>
      <w:r>
        <w:rPr>
          <w:b w:val="0"/>
          <w:i w:val="0"/>
          <w:smallCaps w:val="0"/>
          <w:strike w:val="0"/>
          <w:sz w:val="16"/>
          <w:u w:val="none"/>
        </w:rPr>
        <w:t>.</w:t>
      </w:r>
    </w:p>
    <w:p>
      <w:pPr>
        <w:spacing w:after="60"/>
      </w:pPr>
      <w:r>
        <w:rPr>
          <w:b w:val="0"/>
          <w:i w:val="0"/>
          <w:smallCaps w:val="0"/>
          <w:strike w:val="0"/>
          <w:sz w:val="16"/>
          <w:u w:val="none"/>
        </w:rPr>
        <w:t>The dissent—authored by Justice Gorsuch and joined by Justices Thomas and Alito—criticized the majority’s approach and countered that “the Act almost certainly does not tolerate a discovery rule.” While the dissent conceded that it is understandable that the Court left the question for another case considering the parties did not question whether a discovery rule exists, “if that is a permissible course, it does not strike me as the most sensible one,” Justice Gorsuch wrote. He concluded by saying that he would have dismissed the case as improvidently granted and waited for a better one where the issues were squarely presented. “Better, in my view, to answer a question that does matter than one that almost certainly does not.”</w:t>
      </w:r>
    </w:p>
    <w:p>
      <w:pPr>
        <w:spacing w:after="60"/>
      </w:pPr>
      <w:r>
        <w:rPr>
          <w:b w:val="0"/>
          <w:i w:val="0"/>
          <w:smallCaps w:val="0"/>
          <w:strike w:val="0"/>
          <w:sz w:val="22"/>
          <w:u w:val="single"/>
        </w:rPr>
        <w:t>Commenting on the decision</w:t>
      </w:r>
      <w:r>
        <w:rPr>
          <w:b w:val="0"/>
          <w:i w:val="0"/>
          <w:smallCaps w:val="0"/>
          <w:strike w:val="0"/>
          <w:sz w:val="16"/>
          <w:u w:val="none"/>
        </w:rPr>
        <w:t xml:space="preserve"> </w:t>
      </w:r>
      <w:r>
        <w:rPr>
          <w:b w:val="0"/>
          <w:i w:val="0"/>
          <w:smallCaps w:val="0"/>
          <w:strike w:val="0"/>
          <w:sz w:val="22"/>
          <w:u w:val="single"/>
        </w:rPr>
        <w:t>today</w:t>
      </w:r>
      <w:r>
        <w:rPr>
          <w:b w:val="0"/>
          <w:i w:val="0"/>
          <w:smallCaps w:val="0"/>
          <w:strike w:val="0"/>
          <w:sz w:val="16"/>
          <w:u w:val="none"/>
        </w:rPr>
        <w:t xml:space="preserve">, Knobbe Martens partner Jeff Van Hoosear </w:t>
      </w:r>
      <w:r>
        <w:rPr>
          <w:b w:val="0"/>
          <w:i w:val="0"/>
          <w:smallCaps w:val="0"/>
          <w:strike w:val="0"/>
          <w:sz w:val="22"/>
          <w:highlight w:val="cyan"/>
          <w:u w:val="single"/>
        </w:rPr>
        <w:t>called it</w:t>
      </w:r>
      <w:r>
        <w:rPr>
          <w:b w:val="0"/>
          <w:i w:val="0"/>
          <w:smallCaps w:val="0"/>
          <w:strike w:val="0"/>
          <w:sz w:val="16"/>
          <w:highlight w:val="cyan"/>
          <w:u w:val="none"/>
        </w:rPr>
        <w:t xml:space="preserve"> “</w:t>
      </w:r>
      <w:r>
        <w:rPr>
          <w:b w:val="0"/>
          <w:i w:val="0"/>
          <w:smallCaps w:val="0"/>
          <w:strike w:val="0"/>
          <w:sz w:val="22"/>
          <w:highlight w:val="cyan"/>
          <w:u w:val="single"/>
        </w:rPr>
        <w:t xml:space="preserve">a </w:t>
      </w:r>
      <w:r>
        <w:rPr>
          <w:b/>
          <w:i w:val="0"/>
          <w:smallCaps w:val="0"/>
          <w:strike w:val="0"/>
          <w:sz w:val="22"/>
          <w:highlight w:val="cyan"/>
          <w:u w:val="single"/>
        </w:rPr>
        <w:t>victory for copyright</w:t>
      </w:r>
      <w:r>
        <w:rPr>
          <w:b/>
          <w:i w:val="0"/>
          <w:smallCaps w:val="0"/>
          <w:strike w:val="0"/>
          <w:sz w:val="22"/>
          <w:u w:val="single"/>
        </w:rPr>
        <w:t xml:space="preserve"> </w:t>
      </w:r>
      <w:r>
        <w:rPr>
          <w:b/>
          <w:i w:val="0"/>
          <w:smallCaps w:val="0"/>
          <w:strike w:val="0"/>
          <w:sz w:val="22"/>
          <w:highlight w:val="cyan"/>
          <w:u w:val="single"/>
        </w:rPr>
        <w:t>owners</w:t>
      </w:r>
      <w:r>
        <w:rPr>
          <w:b w:val="0"/>
          <w:i w:val="0"/>
          <w:smallCaps w:val="0"/>
          <w:strike w:val="0"/>
          <w:sz w:val="16"/>
          <w:u w:val="none"/>
        </w:rPr>
        <w:t xml:space="preserve">, </w:t>
      </w:r>
      <w:r>
        <w:rPr>
          <w:b w:val="0"/>
          <w:i w:val="0"/>
          <w:smallCaps w:val="0"/>
          <w:strike w:val="0"/>
          <w:sz w:val="22"/>
          <w:highlight w:val="cyan"/>
          <w:u w:val="single"/>
        </w:rPr>
        <w:t xml:space="preserve">and in </w:t>
      </w:r>
      <w:r>
        <w:rPr>
          <w:b/>
          <w:i w:val="0"/>
          <w:smallCaps w:val="0"/>
          <w:strike w:val="0"/>
          <w:sz w:val="22"/>
          <w:highlight w:val="cyan"/>
          <w:u w:val="single"/>
        </w:rPr>
        <w:t>particular individuals</w:t>
      </w:r>
      <w:r>
        <w:rPr>
          <w:b w:val="0"/>
          <w:i w:val="0"/>
          <w:smallCaps w:val="0"/>
          <w:strike w:val="0"/>
          <w:sz w:val="22"/>
          <w:highlight w:val="cyan"/>
          <w:u w:val="single"/>
        </w:rPr>
        <w:t xml:space="preserve"> and </w:t>
      </w:r>
      <w:r>
        <w:rPr>
          <w:b/>
          <w:i w:val="0"/>
          <w:smallCaps w:val="0"/>
          <w:strike w:val="0"/>
          <w:sz w:val="22"/>
          <w:highlight w:val="cyan"/>
          <w:u w:val="single"/>
        </w:rPr>
        <w:t>small entities</w:t>
      </w:r>
      <w:r>
        <w:rPr>
          <w:b w:val="0"/>
          <w:i w:val="0"/>
          <w:smallCaps w:val="0"/>
          <w:strike w:val="0"/>
          <w:sz w:val="22"/>
          <w:highlight w:val="cyan"/>
          <w:u w:val="single"/>
        </w:rPr>
        <w:t xml:space="preserve"> that </w:t>
      </w:r>
      <w:r>
        <w:rPr>
          <w:b/>
          <w:i w:val="0"/>
          <w:smallCaps w:val="0"/>
          <w:strike w:val="0"/>
          <w:sz w:val="22"/>
          <w:highlight w:val="cyan"/>
          <w:u w:val="single"/>
        </w:rPr>
        <w:t>own copyrights</w:t>
      </w:r>
      <w:r>
        <w:rPr>
          <w:b w:val="0"/>
          <w:i w:val="0"/>
          <w:smallCaps w:val="0"/>
          <w:strike w:val="0"/>
          <w:sz w:val="16"/>
          <w:u w:val="none"/>
        </w:rPr>
        <w:t>.” Van Hoosear added:</w:t>
      </w:r>
    </w:p>
    <w:p>
      <w:pPr>
        <w:spacing w:after="60"/>
      </w:pPr>
      <w:r>
        <w:rPr>
          <w:b w:val="0"/>
          <w:i w:val="0"/>
          <w:smallCaps w:val="0"/>
          <w:strike w:val="0"/>
          <w:sz w:val="16"/>
          <w:u w:val="none"/>
        </w:rPr>
        <w:t>“</w:t>
      </w:r>
      <w:r>
        <w:rPr>
          <w:b w:val="0"/>
          <w:i w:val="0"/>
          <w:smallCaps w:val="0"/>
          <w:strike w:val="0"/>
          <w:sz w:val="22"/>
          <w:u w:val="single"/>
        </w:rPr>
        <w:t>These plaintiffs</w:t>
      </w:r>
      <w:r>
        <w:rPr>
          <w:b w:val="0"/>
          <w:i w:val="0"/>
          <w:smallCaps w:val="0"/>
          <w:strike w:val="0"/>
          <w:sz w:val="16"/>
          <w:u w:val="none"/>
        </w:rPr>
        <w:t xml:space="preserve">, like Sherman Nealy, often </w:t>
      </w:r>
      <w:r>
        <w:rPr>
          <w:b w:val="0"/>
          <w:i w:val="0"/>
          <w:smallCaps w:val="0"/>
          <w:strike w:val="0"/>
          <w:sz w:val="22"/>
          <w:highlight w:val="cyan"/>
          <w:u w:val="single"/>
        </w:rPr>
        <w:t>rely</w:t>
      </w:r>
      <w:r>
        <w:rPr>
          <w:b w:val="0"/>
          <w:i w:val="0"/>
          <w:smallCaps w:val="0"/>
          <w:strike w:val="0"/>
          <w:sz w:val="16"/>
          <w:highlight w:val="cyan"/>
          <w:u w:val="none"/>
        </w:rPr>
        <w:t xml:space="preserve"> </w:t>
      </w:r>
      <w:r>
        <w:rPr>
          <w:b w:val="0"/>
          <w:i w:val="0"/>
          <w:smallCaps w:val="0"/>
          <w:strike w:val="0"/>
          <w:sz w:val="22"/>
          <w:highlight w:val="cyan"/>
          <w:u w:val="single"/>
        </w:rPr>
        <w:t>on the</w:t>
      </w:r>
      <w:r>
        <w:rPr>
          <w:b w:val="0"/>
          <w:i w:val="0"/>
          <w:smallCaps w:val="0"/>
          <w:strike w:val="0"/>
          <w:sz w:val="16"/>
          <w:highlight w:val="cyan"/>
          <w:u w:val="none"/>
        </w:rPr>
        <w:t xml:space="preserve"> ‘</w:t>
      </w:r>
      <w:r>
        <w:rPr>
          <w:b/>
          <w:i w:val="0"/>
          <w:smallCaps w:val="0"/>
          <w:strike w:val="0"/>
          <w:sz w:val="22"/>
          <w:highlight w:val="cyan"/>
          <w:u w:val="single"/>
        </w:rPr>
        <w:t>discovery</w:t>
      </w:r>
      <w:r>
        <w:rPr>
          <w:b/>
          <w:i w:val="0"/>
          <w:smallCaps w:val="0"/>
          <w:strike w:val="0"/>
          <w:sz w:val="22"/>
          <w:u w:val="single"/>
        </w:rPr>
        <w:t xml:space="preserve"> </w:t>
      </w:r>
      <w:r>
        <w:rPr>
          <w:b/>
          <w:i w:val="0"/>
          <w:smallCaps w:val="0"/>
          <w:strike w:val="0"/>
          <w:sz w:val="22"/>
          <w:highlight w:val="cyan"/>
          <w:u w:val="single"/>
        </w:rPr>
        <w:t>rule’</w:t>
      </w:r>
      <w:r>
        <w:rPr>
          <w:b w:val="0"/>
          <w:i w:val="0"/>
          <w:smallCaps w:val="0"/>
          <w:strike w:val="0"/>
          <w:sz w:val="16"/>
          <w:u w:val="none"/>
        </w:rPr>
        <w:t xml:space="preserve"> </w:t>
      </w:r>
      <w:r>
        <w:rPr>
          <w:b w:val="0"/>
          <w:i w:val="0"/>
          <w:smallCaps w:val="0"/>
          <w:strike w:val="0"/>
          <w:sz w:val="22"/>
          <w:highlight w:val="cyan"/>
          <w:u w:val="single"/>
        </w:rPr>
        <w:t>for remedies</w:t>
      </w:r>
      <w:r>
        <w:rPr>
          <w:b w:val="0"/>
          <w:i w:val="0"/>
          <w:smallCaps w:val="0"/>
          <w:strike w:val="0"/>
          <w:sz w:val="16"/>
          <w:u w:val="none"/>
        </w:rPr>
        <w:t xml:space="preserve">. As the 9th Circuit held in Starz Entertainment v. MGM, </w:t>
      </w:r>
      <w:r>
        <w:rPr>
          <w:b w:val="0"/>
          <w:i w:val="0"/>
          <w:smallCaps w:val="0"/>
          <w:strike w:val="0"/>
          <w:sz w:val="22"/>
          <w:highlight w:val="cyan"/>
          <w:u w:val="single"/>
        </w:rPr>
        <w:t>the</w:t>
      </w:r>
      <w:r>
        <w:rPr>
          <w:b w:val="0"/>
          <w:i w:val="0"/>
          <w:smallCaps w:val="0"/>
          <w:strike w:val="0"/>
          <w:sz w:val="22"/>
          <w:u w:val="single"/>
        </w:rPr>
        <w:t xml:space="preserve"> discovery </w:t>
      </w:r>
      <w:r>
        <w:rPr>
          <w:b w:val="0"/>
          <w:i w:val="0"/>
          <w:smallCaps w:val="0"/>
          <w:strike w:val="0"/>
          <w:sz w:val="22"/>
          <w:highlight w:val="cyan"/>
          <w:u w:val="single"/>
        </w:rPr>
        <w:t xml:space="preserve">rule would be </w:t>
      </w:r>
      <w:r>
        <w:rPr>
          <w:b/>
          <w:i w:val="0"/>
          <w:smallCaps w:val="0"/>
          <w:strike w:val="0"/>
          <w:sz w:val="22"/>
          <w:highlight w:val="cyan"/>
          <w:u w:val="single"/>
        </w:rPr>
        <w:t>eviscerated</w:t>
      </w:r>
      <w:r>
        <w:rPr>
          <w:b w:val="0"/>
          <w:i w:val="0"/>
          <w:smallCaps w:val="0"/>
          <w:strike w:val="0"/>
          <w:sz w:val="22"/>
          <w:highlight w:val="cyan"/>
          <w:u w:val="single"/>
        </w:rPr>
        <w:t xml:space="preserve"> if the </w:t>
      </w:r>
      <w:r>
        <w:rPr>
          <w:b/>
          <w:i w:val="0"/>
          <w:smallCaps w:val="0"/>
          <w:strike w:val="0"/>
          <w:sz w:val="22"/>
          <w:highlight w:val="cyan"/>
          <w:u w:val="single"/>
        </w:rPr>
        <w:t>plaintiff</w:t>
      </w:r>
      <w:r>
        <w:rPr>
          <w:b w:val="0"/>
          <w:i w:val="0"/>
          <w:smallCaps w:val="0"/>
          <w:strike w:val="0"/>
          <w:sz w:val="22"/>
          <w:u w:val="single"/>
        </w:rPr>
        <w:t xml:space="preserve"> </w:t>
      </w:r>
      <w:r>
        <w:rPr>
          <w:b w:val="0"/>
          <w:i w:val="0"/>
          <w:smallCaps w:val="0"/>
          <w:strike w:val="0"/>
          <w:sz w:val="22"/>
          <w:highlight w:val="cyan"/>
          <w:u w:val="single"/>
        </w:rPr>
        <w:t xml:space="preserve">was </w:t>
      </w:r>
      <w:r>
        <w:rPr>
          <w:b/>
          <w:i w:val="0"/>
          <w:smallCaps w:val="0"/>
          <w:strike w:val="0"/>
          <w:sz w:val="22"/>
          <w:highlight w:val="cyan"/>
          <w:u w:val="single"/>
        </w:rPr>
        <w:t>restricted to only damages</w:t>
      </w:r>
      <w:r>
        <w:rPr>
          <w:b w:val="0"/>
          <w:i w:val="0"/>
          <w:smallCaps w:val="0"/>
          <w:strike w:val="0"/>
          <w:sz w:val="22"/>
          <w:u w:val="single"/>
        </w:rPr>
        <w:t xml:space="preserve"> </w:t>
      </w:r>
      <w:r>
        <w:rPr>
          <w:b w:val="0"/>
          <w:i w:val="0"/>
          <w:smallCaps w:val="0"/>
          <w:strike w:val="0"/>
          <w:sz w:val="22"/>
          <w:highlight w:val="cyan"/>
          <w:u w:val="single"/>
        </w:rPr>
        <w:t xml:space="preserve">from </w:t>
      </w:r>
      <w:r>
        <w:rPr>
          <w:b/>
          <w:i w:val="0"/>
          <w:smallCaps w:val="0"/>
          <w:strike w:val="0"/>
          <w:sz w:val="22"/>
          <w:highlight w:val="cyan"/>
          <w:u w:val="single"/>
        </w:rPr>
        <w:t>three years prior</w:t>
      </w:r>
      <w:r>
        <w:rPr>
          <w:b w:val="0"/>
          <w:i w:val="0"/>
          <w:smallCaps w:val="0"/>
          <w:strike w:val="0"/>
          <w:sz w:val="22"/>
          <w:u w:val="single"/>
        </w:rPr>
        <w:t xml:space="preserve"> </w:t>
      </w:r>
      <w:r>
        <w:rPr>
          <w:b w:val="0"/>
          <w:i w:val="0"/>
          <w:smallCaps w:val="0"/>
          <w:strike w:val="0"/>
          <w:sz w:val="22"/>
          <w:highlight w:val="cyan"/>
          <w:u w:val="single"/>
        </w:rPr>
        <w:t xml:space="preserve">to the </w:t>
      </w:r>
      <w:r>
        <w:rPr>
          <w:b/>
          <w:i w:val="0"/>
          <w:smallCaps w:val="0"/>
          <w:strike w:val="0"/>
          <w:sz w:val="22"/>
          <w:highlight w:val="cyan"/>
          <w:u w:val="single"/>
        </w:rPr>
        <w:t>institution of the infringement</w:t>
      </w:r>
      <w:r>
        <w:rPr>
          <w:b/>
          <w:i w:val="0"/>
          <w:smallCaps w:val="0"/>
          <w:strike w:val="0"/>
          <w:sz w:val="22"/>
          <w:u w:val="single"/>
        </w:rPr>
        <w:t xml:space="preserve"> </w:t>
      </w:r>
      <w:r>
        <w:rPr>
          <w:b/>
          <w:i w:val="0"/>
          <w:smallCaps w:val="0"/>
          <w:strike w:val="0"/>
          <w:sz w:val="22"/>
          <w:highlight w:val="cyan"/>
          <w:u w:val="single"/>
        </w:rPr>
        <w:t>action</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