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Damages are </w:t>
      </w:r>
      <w:r>
        <w:rPr>
          <w:b/>
          <w:i w:val="0"/>
          <w:smallCaps w:val="0"/>
          <w:strike w:val="0"/>
          <w:sz w:val="26"/>
          <w:u w:val="single"/>
        </w:rPr>
        <w:t>thumped</w:t>
      </w:r>
      <w:r>
        <w:rPr>
          <w:b/>
          <w:i w:val="0"/>
          <w:smallCaps w:val="0"/>
          <w:strike w:val="0"/>
          <w:sz w:val="26"/>
          <w:u w:val="none"/>
        </w:rPr>
        <w:t xml:space="preserve">---most recent </w:t>
      </w:r>
      <w:r>
        <w:rPr>
          <w:b/>
          <w:i w:val="0"/>
          <w:smallCaps w:val="0"/>
          <w:strike w:val="0"/>
          <w:sz w:val="26"/>
          <w:u w:val="single"/>
        </w:rPr>
        <w:t>trademark dispute</w:t>
      </w:r>
      <w:r>
        <w:rPr>
          <w:b/>
          <w:i w:val="0"/>
          <w:smallCaps w:val="0"/>
          <w:strike w:val="0"/>
          <w:sz w:val="26"/>
          <w:u w:val="none"/>
        </w:rPr>
        <w:t>.</w:t>
      </w:r>
    </w:p>
    <w:p>
      <w:pPr>
        <w:spacing w:after="80"/>
      </w:pPr>
      <w:r>
        <w:rPr>
          <w:b w:val="0"/>
          <w:i w:val="0"/>
          <w:smallCaps w:val="0"/>
          <w:strike w:val="0"/>
          <w:u w:val="none"/>
        </w:rPr>
        <w:t xml:space="preserve">Sarah </w:t>
      </w:r>
      <w:r>
        <w:rPr>
          <w:b/>
          <w:i w:val="0"/>
          <w:smallCaps w:val="0"/>
          <w:strike w:val="0"/>
          <w:sz w:val="26"/>
          <w:u w:val="single"/>
        </w:rPr>
        <w:t>Biser 6/28</w:t>
      </w:r>
      <w:r>
        <w:rPr>
          <w:b w:val="0"/>
          <w:i w:val="0"/>
          <w:smallCaps w:val="0"/>
          <w:strike w:val="0"/>
          <w:u w:val="none"/>
        </w:rPr>
        <w:t xml:space="preserve">, New York University School of Law (J.D., 1983) Columbia University School of International Affairs (M.I.A., 1979) Rutgers University (B.A., Phi Beta Kappa, 1977), 6/28/24, </w:t>
      </w:r>
      <w:r>
        <w:rPr>
          <w:b w:val="0"/>
          <w:i/>
          <w:smallCaps w:val="0"/>
          <w:strike w:val="0"/>
          <w:u w:val="none"/>
        </w:rPr>
        <w:t>JDSPura</w:t>
      </w:r>
      <w:r>
        <w:rPr>
          <w:b w:val="0"/>
          <w:i w:val="0"/>
          <w:smallCaps w:val="0"/>
          <w:strike w:val="0"/>
          <w:u w:val="none"/>
        </w:rPr>
        <w:t xml:space="preserve">, “U.S. Supreme Court to Decide Damages Issue in Trademark Dispute Involving Construction Engineering Firm”, </w:t>
      </w:r>
      <w:r>
        <w:rPr>
          <w:b w:val="0"/>
          <w:i w:val="0"/>
          <w:smallCaps w:val="0"/>
          <w:strike w:val="0"/>
          <w:u w:val="none"/>
        </w:rPr>
        <w:t>https://www.jdsupra.com/legalnews/u-s-supreme-court-to-decide-damages-6562950/</w:t>
      </w:r>
      <w:r>
        <w:rPr>
          <w:b w:val="0"/>
          <w:i w:val="0"/>
          <w:smallCaps w:val="0"/>
          <w:strike w:val="0"/>
          <w:u w:val="none"/>
        </w:rPr>
        <w:t>, kcab</w:t>
      </w:r>
    </w:p>
    <w:p>
      <w:pPr>
        <w:spacing w:after="60"/>
      </w:pPr>
      <w:r>
        <w:rPr>
          <w:b w:val="0"/>
          <w:i w:val="0"/>
          <w:smallCaps w:val="0"/>
          <w:strike w:val="0"/>
          <w:sz w:val="22"/>
          <w:highlight w:val="cyan"/>
          <w:u w:val="single"/>
        </w:rPr>
        <w:t>The</w:t>
      </w:r>
      <w:r>
        <w:rPr>
          <w:b w:val="0"/>
          <w:i w:val="0"/>
          <w:smallCaps w:val="0"/>
          <w:strike w:val="0"/>
          <w:sz w:val="22"/>
          <w:u w:val="single"/>
        </w:rPr>
        <w:t xml:space="preserve"> </w:t>
      </w:r>
      <w:r>
        <w:rPr>
          <w:b w:val="0"/>
          <w:i w:val="0"/>
          <w:smallCaps w:val="0"/>
          <w:strike w:val="0"/>
          <w:sz w:val="22"/>
          <w:highlight w:val="cyan"/>
          <w:u w:val="single"/>
        </w:rPr>
        <w:t>district court</w:t>
      </w:r>
      <w:r>
        <w:rPr>
          <w:b w:val="0"/>
          <w:i w:val="0"/>
          <w:smallCaps w:val="0"/>
          <w:strike w:val="0"/>
          <w:sz w:val="22"/>
          <w:u w:val="single"/>
        </w:rPr>
        <w:t xml:space="preserve"> </w:t>
      </w:r>
      <w:r>
        <w:rPr>
          <w:b w:val="0"/>
          <w:i w:val="0"/>
          <w:smallCaps w:val="0"/>
          <w:strike w:val="0"/>
          <w:sz w:val="22"/>
          <w:highlight w:val="cyan"/>
          <w:u w:val="single"/>
        </w:rPr>
        <w:t>entered</w:t>
      </w:r>
      <w:r>
        <w:rPr>
          <w:b w:val="0"/>
          <w:i w:val="0"/>
          <w:smallCaps w:val="0"/>
          <w:strike w:val="0"/>
          <w:sz w:val="22"/>
          <w:u w:val="single"/>
        </w:rPr>
        <w:t xml:space="preserve"> summary </w:t>
      </w:r>
      <w:r>
        <w:rPr>
          <w:b w:val="0"/>
          <w:i w:val="0"/>
          <w:smallCaps w:val="0"/>
          <w:strike w:val="0"/>
          <w:sz w:val="22"/>
          <w:highlight w:val="cyan"/>
          <w:u w:val="single"/>
        </w:rPr>
        <w:t>judgment</w:t>
      </w:r>
      <w:r>
        <w:rPr>
          <w:b w:val="0"/>
          <w:i w:val="0"/>
          <w:smallCaps w:val="0"/>
          <w:strike w:val="0"/>
          <w:sz w:val="22"/>
          <w:u w:val="single"/>
        </w:rPr>
        <w:t xml:space="preserve"> in favor of Dewberry Engineers on both claims</w:t>
      </w:r>
      <w:r>
        <w:rPr>
          <w:b w:val="0"/>
          <w:i w:val="0"/>
          <w:smallCaps w:val="0"/>
          <w:strike w:val="0"/>
          <w:sz w:val="16"/>
          <w:u w:val="none"/>
        </w:rPr>
        <w:t xml:space="preserve">.    After a three-day bench trial to calculate damages, </w:t>
      </w:r>
      <w:r>
        <w:rPr>
          <w:b w:val="0"/>
          <w:i w:val="0"/>
          <w:smallCaps w:val="0"/>
          <w:strike w:val="0"/>
          <w:sz w:val="22"/>
          <w:u w:val="single"/>
        </w:rPr>
        <w:t xml:space="preserve">the </w:t>
      </w:r>
      <w:r>
        <w:rPr>
          <w:b w:val="0"/>
          <w:i w:val="0"/>
          <w:smallCaps w:val="0"/>
          <w:strike w:val="0"/>
          <w:sz w:val="22"/>
          <w:highlight w:val="cyan"/>
          <w:u w:val="single"/>
        </w:rPr>
        <w:t xml:space="preserve">district court found that </w:t>
      </w:r>
      <w:r>
        <w:rPr>
          <w:b/>
          <w:i w:val="0"/>
          <w:smallCaps w:val="0"/>
          <w:strike w:val="0"/>
          <w:sz w:val="22"/>
          <w:highlight w:val="cyan"/>
          <w:u w:val="single"/>
        </w:rPr>
        <w:t>profit disgorgement</w:t>
      </w:r>
      <w:r>
        <w:rPr>
          <w:b w:val="0"/>
          <w:i w:val="0"/>
          <w:smallCaps w:val="0"/>
          <w:strike w:val="0"/>
          <w:sz w:val="22"/>
          <w:u w:val="single"/>
        </w:rPr>
        <w:t xml:space="preserve"> </w:t>
      </w:r>
      <w:r>
        <w:rPr>
          <w:b w:val="0"/>
          <w:i w:val="0"/>
          <w:smallCaps w:val="0"/>
          <w:strike w:val="0"/>
          <w:sz w:val="22"/>
          <w:highlight w:val="cyan"/>
          <w:u w:val="single"/>
        </w:rPr>
        <w:t xml:space="preserve">was </w:t>
      </w:r>
      <w:r>
        <w:rPr>
          <w:b/>
          <w:i w:val="0"/>
          <w:smallCaps w:val="0"/>
          <w:strike w:val="0"/>
          <w:sz w:val="22"/>
          <w:highlight w:val="cyan"/>
          <w:u w:val="single"/>
        </w:rPr>
        <w:t>appropriate</w:t>
      </w:r>
      <w:r>
        <w:rPr>
          <w:b w:val="0"/>
          <w:i w:val="0"/>
          <w:smallCaps w:val="0"/>
          <w:strike w:val="0"/>
          <w:sz w:val="22"/>
          <w:u w:val="single"/>
        </w:rPr>
        <w:t>.</w:t>
      </w:r>
      <w:r>
        <w:rPr>
          <w:b w:val="0"/>
          <w:i w:val="0"/>
          <w:smallCaps w:val="0"/>
          <w:strike w:val="0"/>
          <w:sz w:val="16"/>
          <w:u w:val="none"/>
        </w:rPr>
        <w:t xml:space="preserve">  Because </w:t>
      </w:r>
      <w:r>
        <w:rPr>
          <w:b w:val="0"/>
          <w:i w:val="0"/>
          <w:smallCaps w:val="0"/>
          <w:strike w:val="0"/>
          <w:sz w:val="22"/>
          <w:u w:val="single"/>
        </w:rPr>
        <w:t>Dewberry</w:t>
      </w:r>
      <w:r>
        <w:rPr>
          <w:b w:val="0"/>
          <w:i w:val="0"/>
          <w:smallCaps w:val="0"/>
          <w:strike w:val="0"/>
          <w:sz w:val="16"/>
          <w:u w:val="none"/>
        </w:rPr>
        <w:t xml:space="preserve"> Group </w:t>
      </w:r>
      <w:r>
        <w:rPr>
          <w:b w:val="0"/>
          <w:i w:val="0"/>
          <w:smallCaps w:val="0"/>
          <w:strike w:val="0"/>
          <w:sz w:val="22"/>
          <w:u w:val="single"/>
        </w:rPr>
        <w:t>provided</w:t>
      </w:r>
      <w:r>
        <w:rPr>
          <w:b w:val="0"/>
          <w:i w:val="0"/>
          <w:smallCaps w:val="0"/>
          <w:strike w:val="0"/>
          <w:sz w:val="16"/>
          <w:u w:val="none"/>
        </w:rPr>
        <w:t xml:space="preserve"> its </w:t>
      </w:r>
      <w:r>
        <w:rPr>
          <w:b/>
          <w:i w:val="0"/>
          <w:smallCaps w:val="0"/>
          <w:strike w:val="0"/>
          <w:sz w:val="22"/>
          <w:u w:val="single"/>
        </w:rPr>
        <w:t>infringing services</w:t>
      </w:r>
      <w:r>
        <w:rPr>
          <w:b w:val="0"/>
          <w:i w:val="0"/>
          <w:smallCaps w:val="0"/>
          <w:strike w:val="0"/>
          <w:sz w:val="16"/>
          <w:u w:val="none"/>
        </w:rPr>
        <w:t xml:space="preserve"> </w:t>
      </w:r>
      <w:r>
        <w:rPr>
          <w:b w:val="0"/>
          <w:i w:val="0"/>
          <w:smallCaps w:val="0"/>
          <w:strike w:val="0"/>
          <w:sz w:val="22"/>
          <w:u w:val="single"/>
        </w:rPr>
        <w:t>to affiliate companies under common ownership</w:t>
      </w:r>
      <w:r>
        <w:rPr>
          <w:b w:val="0"/>
          <w:i w:val="0"/>
          <w:smallCaps w:val="0"/>
          <w:strike w:val="0"/>
          <w:sz w:val="16"/>
          <w:u w:val="none"/>
        </w:rPr>
        <w:t xml:space="preserve">, the court found that the revenues associated with Dewberry Group’s conduct appeared on the affiliates’ balance sheets.  Consequently, </w:t>
      </w:r>
      <w:r>
        <w:rPr>
          <w:b w:val="0"/>
          <w:i w:val="0"/>
          <w:smallCaps w:val="0"/>
          <w:strike w:val="0"/>
          <w:sz w:val="22"/>
          <w:u w:val="single"/>
        </w:rPr>
        <w:t>the court treated Dewberry Group and its affiliates as a single corporate entity for the purpose of calculating revenues and profits generated by Dewberry Group’s use of infringing marks</w:t>
      </w:r>
      <w:r>
        <w:rPr>
          <w:b w:val="0"/>
          <w:i w:val="0"/>
          <w:smallCaps w:val="0"/>
          <w:strike w:val="0"/>
          <w:sz w:val="16"/>
          <w:u w:val="none"/>
        </w:rPr>
        <w:t xml:space="preserve">.  </w:t>
      </w:r>
      <w:r>
        <w:rPr>
          <w:b w:val="0"/>
          <w:i w:val="0"/>
          <w:smallCaps w:val="0"/>
          <w:strike w:val="0"/>
          <w:sz w:val="22"/>
          <w:u w:val="single"/>
        </w:rPr>
        <w:t>The district court</w:t>
      </w:r>
      <w:r>
        <w:rPr>
          <w:b w:val="0"/>
          <w:i w:val="0"/>
          <w:smallCaps w:val="0"/>
          <w:strike w:val="0"/>
          <w:sz w:val="16"/>
          <w:u w:val="none"/>
        </w:rPr>
        <w:t xml:space="preserve"> </w:t>
      </w:r>
      <w:r>
        <w:rPr>
          <w:b w:val="0"/>
          <w:i w:val="0"/>
          <w:smallCaps w:val="0"/>
          <w:strike w:val="0"/>
          <w:sz w:val="22"/>
          <w:u w:val="single"/>
        </w:rPr>
        <w:t>reduced</w:t>
      </w:r>
      <w:r>
        <w:rPr>
          <w:b w:val="0"/>
          <w:i w:val="0"/>
          <w:smallCaps w:val="0"/>
          <w:strike w:val="0"/>
          <w:sz w:val="16"/>
          <w:u w:val="none"/>
        </w:rPr>
        <w:t xml:space="preserve"> </w:t>
      </w:r>
      <w:r>
        <w:rPr>
          <w:b/>
          <w:i w:val="0"/>
          <w:smallCaps w:val="0"/>
          <w:strike w:val="0"/>
          <w:sz w:val="22"/>
          <w:u w:val="single"/>
        </w:rPr>
        <w:t>Dewberry Engineers’</w:t>
      </w:r>
      <w:r>
        <w:rPr>
          <w:b w:val="0"/>
          <w:i w:val="0"/>
          <w:smallCaps w:val="0"/>
          <w:strike w:val="0"/>
          <w:sz w:val="16"/>
          <w:u w:val="none"/>
        </w:rPr>
        <w:t xml:space="preserve"> </w:t>
      </w:r>
      <w:r>
        <w:rPr>
          <w:b w:val="0"/>
          <w:i w:val="0"/>
          <w:smallCaps w:val="0"/>
          <w:strike w:val="0"/>
          <w:sz w:val="22"/>
          <w:u w:val="single"/>
        </w:rPr>
        <w:t>requested</w:t>
      </w:r>
      <w:r>
        <w:rPr>
          <w:b w:val="0"/>
          <w:i w:val="0"/>
          <w:smallCaps w:val="0"/>
          <w:strike w:val="0"/>
          <w:sz w:val="16"/>
          <w:u w:val="none"/>
        </w:rPr>
        <w:t xml:space="preserve"> award of $</w:t>
      </w:r>
      <w:r>
        <w:rPr>
          <w:b w:val="0"/>
          <w:i w:val="0"/>
          <w:smallCaps w:val="0"/>
          <w:strike w:val="0"/>
          <w:sz w:val="22"/>
          <w:u w:val="single"/>
        </w:rPr>
        <w:t>53.7 million by 20</w:t>
      </w:r>
      <w:r>
        <w:rPr>
          <w:b w:val="0"/>
          <w:i w:val="0"/>
          <w:smallCaps w:val="0"/>
          <w:strike w:val="0"/>
          <w:sz w:val="16"/>
          <w:u w:val="none"/>
        </w:rPr>
        <w:t>%—</w:t>
      </w:r>
      <w:r>
        <w:rPr>
          <w:b w:val="0"/>
          <w:i w:val="0"/>
          <w:smallCaps w:val="0"/>
          <w:strike w:val="0"/>
          <w:sz w:val="22"/>
          <w:u w:val="single"/>
        </w:rPr>
        <w:t>awarding Dewberry Engineers</w:t>
      </w:r>
      <w:r>
        <w:rPr>
          <w:b w:val="0"/>
          <w:i w:val="0"/>
          <w:smallCaps w:val="0"/>
          <w:strike w:val="0"/>
          <w:sz w:val="16"/>
          <w:u w:val="none"/>
        </w:rPr>
        <w:t xml:space="preserve"> close to $43 million in disgorgement profits, plus attorneys’ fees.</w:t>
      </w:r>
    </w:p>
    <w:p>
      <w:pPr>
        <w:spacing w:after="60"/>
      </w:pPr>
      <w:r>
        <w:rPr>
          <w:b w:val="0"/>
          <w:i w:val="0"/>
          <w:smallCaps w:val="0"/>
          <w:strike w:val="0"/>
          <w:sz w:val="16"/>
          <w:u w:val="none"/>
        </w:rPr>
        <w:t xml:space="preserve">On appeal, </w:t>
      </w:r>
      <w:r>
        <w:rPr>
          <w:b w:val="0"/>
          <w:i w:val="0"/>
          <w:smallCaps w:val="0"/>
          <w:strike w:val="0"/>
          <w:sz w:val="22"/>
          <w:u w:val="single"/>
        </w:rPr>
        <w:t>the</w:t>
      </w:r>
      <w:r>
        <w:rPr>
          <w:b w:val="0"/>
          <w:i w:val="0"/>
          <w:smallCaps w:val="0"/>
          <w:strike w:val="0"/>
          <w:sz w:val="16"/>
          <w:u w:val="none"/>
        </w:rPr>
        <w:t xml:space="preserve"> United States </w:t>
      </w:r>
      <w:r>
        <w:rPr>
          <w:b w:val="0"/>
          <w:i w:val="0"/>
          <w:smallCaps w:val="0"/>
          <w:strike w:val="0"/>
          <w:sz w:val="22"/>
          <w:u w:val="single"/>
        </w:rPr>
        <w:t>Court of Appeals</w:t>
      </w:r>
      <w:r>
        <w:rPr>
          <w:b w:val="0"/>
          <w:i w:val="0"/>
          <w:smallCaps w:val="0"/>
          <w:strike w:val="0"/>
          <w:sz w:val="16"/>
          <w:u w:val="none"/>
        </w:rPr>
        <w:t xml:space="preserve"> for the Fourth Circuit </w:t>
      </w:r>
      <w:r>
        <w:rPr>
          <w:b w:val="0"/>
          <w:i w:val="0"/>
          <w:smallCaps w:val="0"/>
          <w:strike w:val="0"/>
          <w:sz w:val="22"/>
          <w:u w:val="single"/>
        </w:rPr>
        <w:t>affirmed</w:t>
      </w:r>
      <w:r>
        <w:rPr>
          <w:b w:val="0"/>
          <w:i w:val="0"/>
          <w:smallCaps w:val="0"/>
          <w:strike w:val="0"/>
          <w:sz w:val="16"/>
          <w:u w:val="none"/>
        </w:rPr>
        <w:t xml:space="preserve"> </w:t>
      </w:r>
      <w:r>
        <w:rPr>
          <w:b w:val="0"/>
          <w:i w:val="0"/>
          <w:smallCaps w:val="0"/>
          <w:strike w:val="0"/>
          <w:sz w:val="22"/>
          <w:u w:val="single"/>
        </w:rPr>
        <w:t>the district court’s judgment in all respects</w:t>
      </w:r>
      <w:r>
        <w:rPr>
          <w:b w:val="0"/>
          <w:i w:val="0"/>
          <w:smallCaps w:val="0"/>
          <w:strike w:val="0"/>
          <w:sz w:val="16"/>
          <w:u w:val="none"/>
        </w:rPr>
        <w:t xml:space="preserve">.[2]  On the issue of including revenues of Dewberry Group’s affiliates in the disgorgement calculation, </w:t>
      </w:r>
      <w:r>
        <w:rPr>
          <w:b w:val="0"/>
          <w:i w:val="0"/>
          <w:smallCaps w:val="0"/>
          <w:strike w:val="0"/>
          <w:sz w:val="22"/>
          <w:u w:val="single"/>
        </w:rPr>
        <w:t>the Court ruled</w:t>
      </w:r>
      <w:r>
        <w:rPr>
          <w:b w:val="0"/>
          <w:i w:val="0"/>
          <w:smallCaps w:val="0"/>
          <w:strike w:val="0"/>
          <w:sz w:val="16"/>
          <w:u w:val="none"/>
        </w:rPr>
        <w:t xml:space="preserve"> that, while </w:t>
      </w:r>
      <w:r>
        <w:rPr>
          <w:b w:val="0"/>
          <w:i w:val="0"/>
          <w:smallCaps w:val="0"/>
          <w:strike w:val="0"/>
          <w:sz w:val="22"/>
          <w:u w:val="single"/>
        </w:rPr>
        <w:t>Dewberry</w:t>
      </w:r>
      <w:r>
        <w:rPr>
          <w:b w:val="0"/>
          <w:i w:val="0"/>
          <w:smallCaps w:val="0"/>
          <w:strike w:val="0"/>
          <w:sz w:val="16"/>
          <w:u w:val="none"/>
        </w:rPr>
        <w:t xml:space="preserve"> Group </w:t>
      </w:r>
      <w:r>
        <w:rPr>
          <w:b w:val="0"/>
          <w:i w:val="0"/>
          <w:smallCaps w:val="0"/>
          <w:strike w:val="0"/>
          <w:sz w:val="22"/>
          <w:u w:val="single"/>
        </w:rPr>
        <w:t>did not receive the revenues from its infringing behavior directly</w:t>
      </w:r>
      <w:r>
        <w:rPr>
          <w:b w:val="0"/>
          <w:i w:val="0"/>
          <w:smallCaps w:val="0"/>
          <w:strike w:val="0"/>
          <w:sz w:val="16"/>
          <w:u w:val="none"/>
        </w:rPr>
        <w:t xml:space="preserve">, </w:t>
      </w:r>
      <w:r>
        <w:rPr>
          <w:b w:val="0"/>
          <w:i w:val="0"/>
          <w:smallCaps w:val="0"/>
          <w:strike w:val="0"/>
          <w:sz w:val="22"/>
          <w:highlight w:val="cyan"/>
          <w:u w:val="single"/>
        </w:rPr>
        <w:t xml:space="preserve">it still </w:t>
      </w:r>
      <w:r>
        <w:rPr>
          <w:b/>
          <w:i w:val="0"/>
          <w:smallCaps w:val="0"/>
          <w:strike w:val="0"/>
          <w:sz w:val="22"/>
          <w:highlight w:val="cyan"/>
          <w:u w:val="single"/>
        </w:rPr>
        <w:t>benefited from its infringing</w:t>
      </w:r>
      <w:r>
        <w:rPr>
          <w:b w:val="0"/>
          <w:i w:val="0"/>
          <w:smallCaps w:val="0"/>
          <w:strike w:val="0"/>
          <w:sz w:val="22"/>
          <w:highlight w:val="cyan"/>
          <w:u w:val="single"/>
        </w:rPr>
        <w:t xml:space="preserve"> </w:t>
      </w:r>
      <w:r>
        <w:rPr>
          <w:b/>
          <w:i w:val="0"/>
          <w:smallCaps w:val="0"/>
          <w:strike w:val="0"/>
          <w:sz w:val="22"/>
          <w:highlight w:val="cyan"/>
          <w:u w:val="single"/>
        </w:rPr>
        <w:t>relationship</w:t>
      </w:r>
      <w:r>
        <w:rPr>
          <w:b w:val="0"/>
          <w:i w:val="0"/>
          <w:smallCaps w:val="0"/>
          <w:strike w:val="0"/>
          <w:sz w:val="22"/>
          <w:highlight w:val="cyan"/>
          <w:u w:val="single"/>
        </w:rPr>
        <w:t xml:space="preserve"> with its affiliates</w:t>
      </w:r>
      <w:r>
        <w:rPr>
          <w:b w:val="0"/>
          <w:i w:val="0"/>
          <w:smallCaps w:val="0"/>
          <w:strike w:val="0"/>
          <w:sz w:val="16"/>
          <w:u w:val="none"/>
        </w:rPr>
        <w:t xml:space="preserve">.  It therefore ruled that the district court acted within its equitable discretion to hold Dewberry Group to account for the revenues generated in part from infringing materials used by its affiliates under common ownership.  </w:t>
      </w:r>
      <w:r>
        <w:rPr>
          <w:b w:val="0"/>
          <w:i w:val="0"/>
          <w:smallCaps w:val="0"/>
          <w:strike w:val="0"/>
          <w:sz w:val="22"/>
          <w:u w:val="single"/>
        </w:rPr>
        <w:t>Admonishing</w:t>
      </w:r>
      <w:r>
        <w:rPr>
          <w:b w:val="0"/>
          <w:i w:val="0"/>
          <w:smallCaps w:val="0"/>
          <w:strike w:val="0"/>
          <w:sz w:val="16"/>
          <w:u w:val="none"/>
        </w:rPr>
        <w:t xml:space="preserve"> </w:t>
      </w:r>
      <w:r>
        <w:rPr>
          <w:b w:val="0"/>
          <w:i w:val="0"/>
          <w:smallCaps w:val="0"/>
          <w:strike w:val="0"/>
          <w:sz w:val="22"/>
          <w:u w:val="single"/>
        </w:rPr>
        <w:t xml:space="preserve">the district court for exercising its discretion in </w:t>
      </w:r>
      <w:r>
        <w:rPr>
          <w:b w:val="0"/>
          <w:i w:val="0"/>
          <w:smallCaps w:val="0"/>
          <w:strike w:val="0"/>
          <w:sz w:val="22"/>
          <w:u w:val="single"/>
        </w:rPr>
        <w:t>that manner</w:t>
      </w:r>
      <w:r>
        <w:rPr>
          <w:b w:val="0"/>
          <w:i w:val="0"/>
          <w:smallCaps w:val="0"/>
          <w:strike w:val="0"/>
          <w:sz w:val="16"/>
          <w:u w:val="none"/>
        </w:rPr>
        <w:t xml:space="preserve">, it ruled, </w:t>
      </w:r>
      <w:r>
        <w:rPr>
          <w:b w:val="0"/>
          <w:i w:val="0"/>
          <w:smallCaps w:val="0"/>
          <w:strike w:val="0"/>
          <w:sz w:val="22"/>
          <w:highlight w:val="cyan"/>
          <w:u w:val="single"/>
        </w:rPr>
        <w:t>risked</w:t>
      </w:r>
      <w:r>
        <w:rPr>
          <w:b w:val="0"/>
          <w:i w:val="0"/>
          <w:smallCaps w:val="0"/>
          <w:strike w:val="0"/>
          <w:sz w:val="16"/>
          <w:u w:val="none"/>
        </w:rPr>
        <w:t xml:space="preserve"> “</w:t>
      </w:r>
      <w:r>
        <w:rPr>
          <w:b/>
          <w:i w:val="0"/>
          <w:smallCaps w:val="0"/>
          <w:strike w:val="0"/>
          <w:sz w:val="22"/>
          <w:highlight w:val="cyan"/>
          <w:u w:val="single"/>
        </w:rPr>
        <w:t>handing</w:t>
      </w:r>
      <w:r>
        <w:rPr>
          <w:b/>
          <w:i w:val="0"/>
          <w:smallCaps w:val="0"/>
          <w:strike w:val="0"/>
          <w:sz w:val="22"/>
          <w:u w:val="single"/>
        </w:rPr>
        <w:t xml:space="preserve"> </w:t>
      </w:r>
      <w:r>
        <w:rPr>
          <w:b/>
          <w:i w:val="0"/>
          <w:smallCaps w:val="0"/>
          <w:strike w:val="0"/>
          <w:sz w:val="22"/>
          <w:highlight w:val="cyan"/>
          <w:u w:val="single"/>
        </w:rPr>
        <w:t>potential trademark</w:t>
      </w:r>
      <w:r>
        <w:rPr>
          <w:b w:val="0"/>
          <w:i w:val="0"/>
          <w:smallCaps w:val="0"/>
          <w:strike w:val="0"/>
          <w:sz w:val="22"/>
          <w:highlight w:val="cyan"/>
          <w:u w:val="single"/>
        </w:rPr>
        <w:t xml:space="preserve"> </w:t>
      </w:r>
      <w:r>
        <w:rPr>
          <w:b/>
          <w:i w:val="0"/>
          <w:smallCaps w:val="0"/>
          <w:strike w:val="0"/>
          <w:sz w:val="22"/>
          <w:highlight w:val="cyan"/>
          <w:u w:val="single"/>
        </w:rPr>
        <w:t>infringers</w:t>
      </w:r>
      <w:r>
        <w:rPr>
          <w:b w:val="0"/>
          <w:i w:val="0"/>
          <w:smallCaps w:val="0"/>
          <w:strike w:val="0"/>
          <w:sz w:val="22"/>
          <w:u w:val="single"/>
        </w:rPr>
        <w:t xml:space="preserve"> </w:t>
      </w:r>
      <w:r>
        <w:rPr>
          <w:b w:val="0"/>
          <w:i w:val="0"/>
          <w:smallCaps w:val="0"/>
          <w:strike w:val="0"/>
          <w:sz w:val="22"/>
          <w:highlight w:val="cyan"/>
          <w:u w:val="single"/>
        </w:rPr>
        <w:t xml:space="preserve">the </w:t>
      </w:r>
      <w:r>
        <w:rPr>
          <w:b/>
          <w:i w:val="0"/>
          <w:smallCaps w:val="0"/>
          <w:strike w:val="0"/>
          <w:sz w:val="22"/>
          <w:highlight w:val="cyan"/>
          <w:u w:val="single"/>
        </w:rPr>
        <w:t>blueprint</w:t>
      </w:r>
      <w:r>
        <w:rPr>
          <w:b w:val="0"/>
          <w:i w:val="0"/>
          <w:smallCaps w:val="0"/>
          <w:strike w:val="0"/>
          <w:sz w:val="22"/>
          <w:highlight w:val="cyan"/>
          <w:u w:val="single"/>
        </w:rPr>
        <w:t xml:space="preserve"> for using </w:t>
      </w:r>
      <w:r>
        <w:rPr>
          <w:b/>
          <w:i w:val="0"/>
          <w:smallCaps w:val="0"/>
          <w:strike w:val="0"/>
          <w:sz w:val="22"/>
          <w:highlight w:val="cyan"/>
          <w:u w:val="single"/>
        </w:rPr>
        <w:t>corporate formalities</w:t>
      </w:r>
      <w:r>
        <w:rPr>
          <w:b w:val="0"/>
          <w:i w:val="0"/>
          <w:smallCaps w:val="0"/>
          <w:strike w:val="0"/>
          <w:sz w:val="22"/>
          <w:u w:val="single"/>
        </w:rPr>
        <w:t xml:space="preserve"> to insulate their </w:t>
      </w:r>
      <w:r>
        <w:rPr>
          <w:b/>
          <w:i w:val="0"/>
          <w:smallCaps w:val="0"/>
          <w:strike w:val="0"/>
          <w:sz w:val="22"/>
          <w:u w:val="single"/>
        </w:rPr>
        <w:t>infringement</w:t>
      </w:r>
      <w:r>
        <w:rPr>
          <w:b w:val="0"/>
          <w:i w:val="0"/>
          <w:smallCaps w:val="0"/>
          <w:strike w:val="0"/>
          <w:sz w:val="22"/>
          <w:u w:val="single"/>
        </w:rPr>
        <w:t xml:space="preserve"> from </w:t>
      </w:r>
      <w:r>
        <w:rPr>
          <w:b/>
          <w:i w:val="0"/>
          <w:smallCaps w:val="0"/>
          <w:strike w:val="0"/>
          <w:sz w:val="22"/>
          <w:u w:val="single"/>
        </w:rPr>
        <w:t>financial consequences</w:t>
      </w:r>
      <w:r>
        <w:rPr>
          <w:b w:val="0"/>
          <w:i w:val="0"/>
          <w:smallCaps w:val="0"/>
          <w:strike w:val="0"/>
          <w:sz w:val="16"/>
          <w:u w:val="none"/>
        </w:rPr>
        <w:t>.”</w:t>
      </w:r>
    </w:p>
    <w:p>
      <w:pPr>
        <w:spacing w:after="60"/>
      </w:pPr>
      <w:r>
        <w:rPr>
          <w:b w:val="0"/>
          <w:i w:val="0"/>
          <w:smallCaps w:val="0"/>
          <w:strike w:val="0"/>
          <w:sz w:val="16"/>
          <w:u w:val="none"/>
        </w:rPr>
        <w:t xml:space="preserve">One member of the appeals court panel, however, dissented on two issues:  the district court’s grant of summary judgment on the issue of likelihood of confusion, and on the damages issue.  On the damages issue, the dissenting judge said that, if the corporations affiliated with Dewberry Group participated in the infringing activity, they would be subject to Lanham Act claims themselves, and all that Dewberry Engineers had to do was to sue them, or to try to pierce the Dewberry Group’s corporate veil to eliminate the corporate separateness between it and those entities.  But, the judge said, “I know of no law that allows court, in assessing the profits of a defendant, to disregard those options and simply add the revenues from non-parties to a defendant’s revenues for purposes of evaluating the defendant’s profits.”[3] </w:t>
      </w:r>
    </w:p>
    <w:p>
      <w:pPr>
        <w:spacing w:after="60"/>
      </w:pPr>
      <w:r>
        <w:rPr>
          <w:b w:val="0"/>
          <w:i w:val="0"/>
          <w:smallCaps w:val="0"/>
          <w:strike w:val="0"/>
          <w:sz w:val="16"/>
          <w:u w:val="none"/>
        </w:rPr>
        <w:t>In its petition for a writ of certiorari, Dewberry Group echoed the views of the dissenting judge.  It argued that the Fourth Circuit’s opinion “</w:t>
      </w:r>
      <w:r>
        <w:rPr>
          <w:b w:val="0"/>
          <w:i w:val="0"/>
          <w:smallCaps w:val="0"/>
          <w:strike w:val="0"/>
          <w:sz w:val="22"/>
          <w:u w:val="single"/>
        </w:rPr>
        <w:t>silently invites courts to ignore corporate separateness without regard to veil-piercing principles</w:t>
      </w:r>
      <w:r>
        <w:rPr>
          <w:b w:val="0"/>
          <w:i w:val="0"/>
          <w:smallCaps w:val="0"/>
          <w:strike w:val="0"/>
          <w:sz w:val="16"/>
          <w:u w:val="none"/>
        </w:rPr>
        <w:t xml:space="preserve">.”  Two Notre Dame law professors filed an amicus brief in support of Dewberry Group, arguing that equity “has never authorized courts to run roughshod over foundational principles of corporate separateness based on a sense of what  would be most fair in an individual case.”[4]  In its opposition, </w:t>
      </w:r>
      <w:r>
        <w:rPr>
          <w:b w:val="0"/>
          <w:i w:val="0"/>
          <w:smallCaps w:val="0"/>
          <w:strike w:val="0"/>
          <w:sz w:val="22"/>
          <w:u w:val="single"/>
        </w:rPr>
        <w:t>Dewberry</w:t>
      </w:r>
      <w:r>
        <w:rPr>
          <w:b w:val="0"/>
          <w:i w:val="0"/>
          <w:smallCaps w:val="0"/>
          <w:strike w:val="0"/>
          <w:sz w:val="16"/>
          <w:u w:val="none"/>
        </w:rPr>
        <w:t xml:space="preserve"> Engineers </w:t>
      </w:r>
      <w:r>
        <w:rPr>
          <w:b w:val="0"/>
          <w:i w:val="0"/>
          <w:smallCaps w:val="0"/>
          <w:strike w:val="0"/>
          <w:sz w:val="22"/>
          <w:u w:val="single"/>
        </w:rPr>
        <w:t>argued</w:t>
      </w:r>
      <w:r>
        <w:rPr>
          <w:b w:val="0"/>
          <w:i w:val="0"/>
          <w:smallCaps w:val="0"/>
          <w:strike w:val="0"/>
          <w:sz w:val="16"/>
          <w:u w:val="none"/>
        </w:rPr>
        <w:t xml:space="preserve"> that </w:t>
      </w:r>
      <w:r>
        <w:rPr>
          <w:b w:val="0"/>
          <w:i w:val="0"/>
          <w:smallCaps w:val="0"/>
          <w:strike w:val="0"/>
          <w:sz w:val="22"/>
          <w:u w:val="single"/>
        </w:rPr>
        <w:t>the Lanham Act expressly provides that</w:t>
      </w:r>
      <w:r>
        <w:rPr>
          <w:b w:val="0"/>
          <w:i w:val="0"/>
          <w:smallCaps w:val="0"/>
          <w:strike w:val="0"/>
          <w:sz w:val="16"/>
          <w:u w:val="none"/>
        </w:rPr>
        <w:t xml:space="preserve"> “[if] </w:t>
      </w:r>
      <w:r>
        <w:rPr>
          <w:b w:val="0"/>
          <w:i w:val="0"/>
          <w:smallCaps w:val="0"/>
          <w:strike w:val="0"/>
          <w:sz w:val="22"/>
          <w:u w:val="single"/>
        </w:rPr>
        <w:t>the court shall find that the amount of recovery based on profits is either inadequate or excessive the court may in its discretion enter judgment for such sum as the court shall find to be just, according to the circumstances of the case</w:t>
      </w:r>
      <w:r>
        <w:rPr>
          <w:b w:val="0"/>
          <w:i w:val="0"/>
          <w:smallCaps w:val="0"/>
          <w:strike w:val="0"/>
          <w:sz w:val="16"/>
          <w:u w:val="none"/>
        </w:rPr>
        <w:t>.” The Supreme Court granted Dewberry Group’s petition for a writ of certiorari on June 24, 2024.</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