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States solves competition and innovation better than the plan – China proves – and </w:t>
      </w:r>
      <w:r>
        <w:rPr>
          <w:b/>
          <w:i w:val="0"/>
          <w:smallCaps w:val="0"/>
          <w:strike w:val="0"/>
          <w:sz w:val="26"/>
          <w:u w:val="none"/>
        </w:rPr>
        <w:t xml:space="preserve">only the CP </w:t>
      </w:r>
      <w:r>
        <w:rPr>
          <w:b/>
          <w:i w:val="0"/>
          <w:smallCaps w:val="0"/>
          <w:strike w:val="0"/>
          <w:sz w:val="26"/>
          <w:u w:val="single"/>
        </w:rPr>
        <w:t xml:space="preserve">reverses </w:t>
      </w:r>
      <w:r>
        <w:rPr>
          <w:b/>
          <w:i w:val="0"/>
          <w:smallCaps w:val="0"/>
          <w:strike w:val="0"/>
          <w:sz w:val="26"/>
          <w:u w:val="none"/>
        </w:rPr>
        <w:t>the destruction of cooperative federalism through the current patent system</w:t>
      </w:r>
    </w:p>
    <w:p>
      <w:pPr>
        <w:spacing w:after="80"/>
      </w:pPr>
      <w:r>
        <w:rPr>
          <w:b/>
          <w:i w:val="0"/>
          <w:smallCaps w:val="0"/>
          <w:strike w:val="0"/>
          <w:sz w:val="26"/>
          <w:u w:val="none"/>
        </w:rPr>
        <w:t>Guan</w:t>
      </w:r>
      <w:r>
        <w:rPr>
          <w:b/>
          <w:i w:val="0"/>
          <w:smallCaps w:val="0"/>
          <w:strike w:val="0"/>
          <w:sz w:val="26"/>
          <w:u w:val="none"/>
        </w:rPr>
        <w:t xml:space="preserve"> 2</w:t>
      </w:r>
      <w:r>
        <w:rPr>
          <w:b/>
          <w:i w:val="0"/>
          <w:smallCaps w:val="0"/>
          <w:strike w:val="0"/>
          <w:sz w:val="26"/>
          <w:u w:val="none"/>
        </w:rPr>
        <w:t>4</w:t>
      </w:r>
      <w:r>
        <w:rPr>
          <w:b w:val="0"/>
          <w:i w:val="0"/>
          <w:smallCaps w:val="0"/>
          <w:strike w:val="0"/>
          <w:u w:val="none"/>
        </w:rPr>
        <w:t xml:space="preserve"> [</w:t>
      </w:r>
      <w:r>
        <w:rPr>
          <w:b w:val="0"/>
          <w:i w:val="0"/>
          <w:smallCaps w:val="0"/>
          <w:strike w:val="0"/>
          <w:u w:val="none"/>
        </w:rPr>
        <w:t>Taori</w:t>
      </w:r>
      <w:r>
        <w:rPr>
          <w:b w:val="0"/>
          <w:i w:val="0"/>
          <w:smallCaps w:val="0"/>
          <w:strike w:val="0"/>
          <w:u w:val="none"/>
        </w:rPr>
        <w:t>; Chicago Journal of International Law;</w:t>
      </w:r>
      <w:r>
        <w:rPr>
          <w:b w:val="0"/>
          <w:i w:val="0"/>
          <w:smallCaps w:val="0"/>
          <w:strike w:val="0"/>
          <w:u w:val="none"/>
        </w:rPr>
        <w:t xml:space="preserve"> “</w:t>
      </w:r>
      <w:r>
        <w:rPr>
          <w:b w:val="0"/>
          <w:i w:val="0"/>
          <w:smallCaps w:val="0"/>
          <w:strike w:val="0"/>
          <w:u w:val="none"/>
        </w:rPr>
        <w:t>ARTICLE: Cooperative Federalism and Patent Legislation: A Study Comparing China and the United States.</w:t>
      </w:r>
      <w:r>
        <w:rPr>
          <w:b w:val="0"/>
          <w:i w:val="0"/>
          <w:smallCaps w:val="0"/>
          <w:strike w:val="0"/>
          <w:u w:val="none"/>
        </w:rPr>
        <w:t>”</w:t>
      </w:r>
      <w:r>
        <w:rPr>
          <w:b w:val="0"/>
          <w:i w:val="0"/>
          <w:smallCaps w:val="0"/>
          <w:strike w:val="0"/>
          <w:u w:val="none"/>
        </w:rPr>
        <w:t>; advance-lexis-com.proxy.lib.umich.edu/api/document?collection=analytical-materials&amp;id=</w:t>
      </w:r>
      <w:r>
        <w:rPr>
          <w:b w:val="0"/>
          <w:i w:val="0"/>
          <w:smallCaps w:val="0"/>
          <w:strike w:val="0"/>
          <w:u w:val="none"/>
        </w:rPr>
        <w:t>urn:contentItem</w:t>
      </w:r>
      <w:r>
        <w:rPr>
          <w:b w:val="0"/>
          <w:i w:val="0"/>
          <w:smallCaps w:val="0"/>
          <w:strike w:val="0"/>
          <w:u w:val="none"/>
        </w:rPr>
        <w:t>:6BBP-B4N1-JC8V-42D0-00000-00&amp;context=1519360; Lowell-CS</w:t>
      </w:r>
      <w:r>
        <w:rPr>
          <w:b w:val="0"/>
          <w:i w:val="0"/>
          <w:smallCaps w:val="0"/>
          <w:strike w:val="0"/>
          <w:u w:val="none"/>
        </w:rPr>
        <w:t>]</w:t>
      </w:r>
    </w:p>
    <w:p>
      <w:pPr>
        <w:spacing w:after="60"/>
      </w:pPr>
      <w:r>
        <w:rPr>
          <w:b w:val="0"/>
          <w:i w:val="0"/>
          <w:smallCaps w:val="0"/>
          <w:strike w:val="0"/>
          <w:sz w:val="16"/>
          <w:u w:val="none"/>
        </w:rPr>
        <w:t xml:space="preserve">This Article compares the patent legislative power allocation models in China and the U.S. In terms of evolutionary paths, the </w:t>
      </w:r>
      <w:r>
        <w:rPr>
          <w:b w:val="0"/>
          <w:i w:val="0"/>
          <w:smallCaps w:val="0"/>
          <w:strike w:val="0"/>
          <w:sz w:val="22"/>
          <w:highlight w:val="cyan"/>
          <w:u w:val="single"/>
        </w:rPr>
        <w:t>U.S. transitioned from a decentralized model</w:t>
      </w:r>
      <w:r>
        <w:rPr>
          <w:b w:val="0"/>
          <w:i w:val="0"/>
          <w:smallCaps w:val="0"/>
          <w:strike w:val="0"/>
          <w:sz w:val="22"/>
          <w:u w:val="single"/>
        </w:rPr>
        <w:t xml:space="preserve"> </w:t>
      </w:r>
      <w:r>
        <w:rPr>
          <w:b w:val="0"/>
          <w:i w:val="0"/>
          <w:smallCaps w:val="0"/>
          <w:strike w:val="0"/>
          <w:sz w:val="22"/>
          <w:highlight w:val="cyan"/>
          <w:u w:val="single"/>
        </w:rPr>
        <w:t>where patent</w:t>
      </w:r>
      <w:r>
        <w:rPr>
          <w:b w:val="0"/>
          <w:i w:val="0"/>
          <w:smallCaps w:val="0"/>
          <w:strike w:val="0"/>
          <w:sz w:val="22"/>
          <w:u w:val="single"/>
        </w:rPr>
        <w:t xml:space="preserve"> legislative </w:t>
      </w:r>
      <w:r>
        <w:rPr>
          <w:b w:val="0"/>
          <w:i w:val="0"/>
          <w:smallCaps w:val="0"/>
          <w:strike w:val="0"/>
          <w:sz w:val="22"/>
          <w:highlight w:val="cyan"/>
          <w:u w:val="single"/>
        </w:rPr>
        <w:t>power resided with the states</w:t>
      </w:r>
      <w:r>
        <w:rPr>
          <w:b w:val="0"/>
          <w:i w:val="0"/>
          <w:smallCaps w:val="0"/>
          <w:strike w:val="0"/>
          <w:sz w:val="22"/>
          <w:u w:val="single"/>
        </w:rPr>
        <w:t xml:space="preserve">, </w:t>
      </w:r>
      <w:r>
        <w:rPr>
          <w:b w:val="0"/>
          <w:i w:val="0"/>
          <w:smallCaps w:val="0"/>
          <w:strike w:val="0"/>
          <w:sz w:val="22"/>
          <w:highlight w:val="cyan"/>
          <w:u w:val="single"/>
        </w:rPr>
        <w:t>to a centralized model</w:t>
      </w:r>
      <w:r>
        <w:rPr>
          <w:b w:val="0"/>
          <w:i w:val="0"/>
          <w:smallCaps w:val="0"/>
          <w:strike w:val="0"/>
          <w:sz w:val="22"/>
          <w:u w:val="single"/>
        </w:rPr>
        <w:t xml:space="preserve"> </w:t>
      </w:r>
      <w:r>
        <w:rPr>
          <w:b w:val="0"/>
          <w:i w:val="0"/>
          <w:smallCaps w:val="0"/>
          <w:strike w:val="0"/>
          <w:sz w:val="22"/>
          <w:highlight w:val="cyan"/>
          <w:u w:val="single"/>
        </w:rPr>
        <w:t>which consolidated</w:t>
      </w:r>
      <w:r>
        <w:rPr>
          <w:b w:val="0"/>
          <w:i w:val="0"/>
          <w:smallCaps w:val="0"/>
          <w:strike w:val="0"/>
          <w:sz w:val="22"/>
          <w:u w:val="single"/>
        </w:rPr>
        <w:t xml:space="preserve"> this </w:t>
      </w:r>
      <w:r>
        <w:rPr>
          <w:b w:val="0"/>
          <w:i w:val="0"/>
          <w:smallCaps w:val="0"/>
          <w:strike w:val="0"/>
          <w:sz w:val="22"/>
          <w:highlight w:val="cyan"/>
          <w:u w:val="single"/>
        </w:rPr>
        <w:t>power at the federal level</w:t>
      </w:r>
      <w:r>
        <w:rPr>
          <w:b w:val="0"/>
          <w:i w:val="0"/>
          <w:smallCaps w:val="0"/>
          <w:strike w:val="0"/>
          <w:sz w:val="16"/>
          <w:u w:val="none"/>
        </w:rPr>
        <w:t xml:space="preserve">. </w:t>
      </w:r>
      <w:r>
        <w:rPr>
          <w:b w:val="0"/>
          <w:i w:val="0"/>
          <w:smallCaps w:val="0"/>
          <w:strike w:val="0"/>
          <w:sz w:val="22"/>
          <w:u w:val="single"/>
        </w:rPr>
        <w:t>Within the realm of patent legislation, there is no collaboration between the federal and state government</w:t>
      </w:r>
      <w:r>
        <w:rPr>
          <w:b w:val="0"/>
          <w:i w:val="0"/>
          <w:smallCaps w:val="0"/>
          <w:strike w:val="0"/>
          <w:sz w:val="16"/>
          <w:u w:val="none"/>
        </w:rPr>
        <w:t xml:space="preserve">s. Conversely, </w:t>
      </w:r>
      <w:r>
        <w:rPr>
          <w:b w:val="0"/>
          <w:i w:val="0"/>
          <w:smallCaps w:val="0"/>
          <w:strike w:val="0"/>
          <w:sz w:val="22"/>
          <w:highlight w:val="cyan"/>
          <w:u w:val="single"/>
        </w:rPr>
        <w:t>China moved from a centralized model</w:t>
      </w:r>
      <w:r>
        <w:rPr>
          <w:b w:val="0"/>
          <w:i w:val="0"/>
          <w:smallCaps w:val="0"/>
          <w:strike w:val="0"/>
          <w:sz w:val="22"/>
          <w:u w:val="single"/>
        </w:rPr>
        <w:t xml:space="preserve">, where patent legislative power was concentrated in the central government, </w:t>
      </w:r>
      <w:r>
        <w:rPr>
          <w:b w:val="0"/>
          <w:i w:val="0"/>
          <w:smallCaps w:val="0"/>
          <w:strike w:val="0"/>
          <w:sz w:val="22"/>
          <w:highlight w:val="cyan"/>
          <w:u w:val="single"/>
        </w:rPr>
        <w:t>to a semi-decentralized model</w:t>
      </w:r>
      <w:r>
        <w:rPr>
          <w:b w:val="0"/>
          <w:i w:val="0"/>
          <w:smallCaps w:val="0"/>
          <w:strike w:val="0"/>
          <w:sz w:val="22"/>
          <w:u w:val="single"/>
        </w:rPr>
        <w:t>, with coexistence between the patent legislative power of the central and local governments.</w:t>
      </w:r>
    </w:p>
    <w:p>
      <w:pPr>
        <w:spacing w:after="60"/>
      </w:pPr>
      <w:r>
        <w:rPr>
          <w:b w:val="0"/>
          <w:i w:val="0"/>
          <w:smallCaps w:val="0"/>
          <w:strike w:val="0"/>
          <w:sz w:val="16"/>
          <w:u w:val="none"/>
        </w:rPr>
        <w:t xml:space="preserve">This Article posits that </w:t>
      </w:r>
      <w:r>
        <w:rPr>
          <w:b w:val="0"/>
          <w:i w:val="0"/>
          <w:smallCaps w:val="0"/>
          <w:strike w:val="0"/>
          <w:sz w:val="22"/>
          <w:highlight w:val="cyan"/>
          <w:u w:val="single"/>
        </w:rPr>
        <w:t>China's semi-decentralized</w:t>
      </w:r>
      <w:r>
        <w:rPr>
          <w:b w:val="0"/>
          <w:i w:val="0"/>
          <w:smallCaps w:val="0"/>
          <w:strike w:val="0"/>
          <w:sz w:val="22"/>
          <w:u w:val="single"/>
        </w:rPr>
        <w:t xml:space="preserve"> patent legislation </w:t>
      </w:r>
      <w:r>
        <w:rPr>
          <w:b w:val="0"/>
          <w:i w:val="0"/>
          <w:smallCaps w:val="0"/>
          <w:strike w:val="0"/>
          <w:sz w:val="22"/>
          <w:highlight w:val="cyan"/>
          <w:u w:val="single"/>
        </w:rPr>
        <w:t xml:space="preserve">model manifests key elements of </w:t>
      </w:r>
      <w:r>
        <w:rPr>
          <w:b/>
          <w:i w:val="0"/>
          <w:smallCaps w:val="0"/>
          <w:strike w:val="0"/>
          <w:sz w:val="22"/>
          <w:highlight w:val="cyan"/>
          <w:u w:val="single"/>
        </w:rPr>
        <w:t>cooperative federalism</w:t>
      </w:r>
      <w:r>
        <w:rPr>
          <w:b w:val="0"/>
          <w:i w:val="0"/>
          <w:smallCaps w:val="0"/>
          <w:strike w:val="0"/>
          <w:sz w:val="22"/>
          <w:u w:val="single"/>
        </w:rPr>
        <w:t xml:space="preserve">, </w:t>
      </w:r>
      <w:r>
        <w:rPr>
          <w:b w:val="0"/>
          <w:i w:val="0"/>
          <w:smallCaps w:val="0"/>
          <w:strike w:val="0"/>
          <w:sz w:val="22"/>
          <w:highlight w:val="cyan"/>
          <w:u w:val="single"/>
        </w:rPr>
        <w:t>embodying power sharing between central and local governments</w:t>
      </w:r>
      <w:r>
        <w:rPr>
          <w:b w:val="0"/>
          <w:i w:val="0"/>
          <w:smallCaps w:val="0"/>
          <w:strike w:val="0"/>
          <w:sz w:val="16"/>
          <w:u w:val="none"/>
        </w:rPr>
        <w:t xml:space="preserve"> as they collaboratively address issues related to innovation. However, the nature of the cooperation between China's central and local governments is distinctive. Unlike the U.S. federal system, where states enjoy significant autonomy, China's central government assumes a dominant role, a consequence of its unitary state structure. Local governments supplement the central government's constructed system by further developing it, tailoring it to local conditions under the central government's guidance and supervision.</w:t>
      </w:r>
    </w:p>
    <w:p>
      <w:pPr>
        <w:spacing w:after="60"/>
      </w:pPr>
      <w:r>
        <w:rPr>
          <w:b w:val="0"/>
          <w:i w:val="0"/>
          <w:smallCaps w:val="0"/>
          <w:strike w:val="0"/>
          <w:sz w:val="22"/>
          <w:highlight w:val="cyan"/>
          <w:u w:val="single"/>
        </w:rPr>
        <w:t>Compared to the</w:t>
      </w:r>
      <w:r>
        <w:rPr>
          <w:b w:val="0"/>
          <w:i w:val="0"/>
          <w:smallCaps w:val="0"/>
          <w:strike w:val="0"/>
          <w:sz w:val="22"/>
          <w:u w:val="single"/>
        </w:rPr>
        <w:t xml:space="preserve"> current </w:t>
      </w:r>
      <w:r>
        <w:rPr>
          <w:b w:val="0"/>
          <w:i w:val="0"/>
          <w:smallCaps w:val="0"/>
          <w:strike w:val="0"/>
          <w:sz w:val="22"/>
          <w:highlight w:val="cyan"/>
          <w:u w:val="single"/>
        </w:rPr>
        <w:t>centralized patent legislation model in the U.S</w:t>
      </w:r>
      <w:r>
        <w:rPr>
          <w:b w:val="0"/>
          <w:i w:val="0"/>
          <w:smallCaps w:val="0"/>
          <w:strike w:val="0"/>
          <w:sz w:val="22"/>
          <w:u w:val="single"/>
        </w:rPr>
        <w:t xml:space="preserve">., this Article suggests that </w:t>
      </w:r>
      <w:r>
        <w:rPr>
          <w:b w:val="0"/>
          <w:i w:val="0"/>
          <w:smallCaps w:val="0"/>
          <w:strike w:val="0"/>
          <w:sz w:val="22"/>
          <w:highlight w:val="cyan"/>
          <w:u w:val="single"/>
        </w:rPr>
        <w:t>the</w:t>
      </w:r>
      <w:r>
        <w:rPr>
          <w:b w:val="0"/>
          <w:i w:val="0"/>
          <w:smallCaps w:val="0"/>
          <w:strike w:val="0"/>
          <w:sz w:val="16"/>
          <w:highlight w:val="cyan"/>
          <w:u w:val="none"/>
        </w:rPr>
        <w:t xml:space="preserve"> </w:t>
      </w:r>
      <w:r>
        <w:rPr>
          <w:b w:val="0"/>
          <w:i w:val="0"/>
          <w:smallCaps w:val="0"/>
          <w:strike w:val="0"/>
          <w:sz w:val="22"/>
          <w:highlight w:val="cyan"/>
          <w:u w:val="single"/>
        </w:rPr>
        <w:t>intricate structure of a semi-decentralized patent legislation model</w:t>
      </w:r>
      <w:r>
        <w:rPr>
          <w:b w:val="0"/>
          <w:i w:val="0"/>
          <w:smallCaps w:val="0"/>
          <w:strike w:val="0"/>
          <w:sz w:val="22"/>
          <w:u w:val="single"/>
        </w:rPr>
        <w:t xml:space="preserve"> </w:t>
      </w:r>
      <w:r>
        <w:rPr>
          <w:b w:val="0"/>
          <w:i w:val="0"/>
          <w:smallCaps w:val="0"/>
          <w:strike w:val="0"/>
          <w:sz w:val="22"/>
          <w:highlight w:val="cyan"/>
          <w:u w:val="single"/>
        </w:rPr>
        <w:t>might be better equipped to cater to the diverse needs of</w:t>
      </w:r>
      <w:r>
        <w:rPr>
          <w:b w:val="0"/>
          <w:i w:val="0"/>
          <w:smallCaps w:val="0"/>
          <w:strike w:val="0"/>
          <w:sz w:val="22"/>
          <w:u w:val="single"/>
        </w:rPr>
        <w:t xml:space="preserve"> local </w:t>
      </w:r>
      <w:r>
        <w:rPr>
          <w:b w:val="0"/>
          <w:i w:val="0"/>
          <w:smallCaps w:val="0"/>
          <w:strike w:val="0"/>
          <w:sz w:val="22"/>
          <w:highlight w:val="cyan"/>
          <w:u w:val="single"/>
        </w:rPr>
        <w:t>industries</w:t>
      </w:r>
      <w:r>
        <w:rPr>
          <w:b w:val="0"/>
          <w:i w:val="0"/>
          <w:smallCaps w:val="0"/>
          <w:strike w:val="0"/>
          <w:sz w:val="22"/>
          <w:u w:val="single"/>
        </w:rPr>
        <w:t xml:space="preserve"> and inventor communities, </w:t>
      </w:r>
      <w:r>
        <w:rPr>
          <w:b w:val="0"/>
          <w:i w:val="0"/>
          <w:smallCaps w:val="0"/>
          <w:strike w:val="0"/>
          <w:sz w:val="22"/>
          <w:highlight w:val="cyan"/>
          <w:u w:val="single"/>
        </w:rPr>
        <w:t xml:space="preserve">and to </w:t>
      </w:r>
      <w:r>
        <w:rPr>
          <w:b/>
          <w:i w:val="0"/>
          <w:smallCaps w:val="0"/>
          <w:strike w:val="0"/>
          <w:sz w:val="22"/>
          <w:highlight w:val="cyan"/>
          <w:u w:val="single"/>
        </w:rPr>
        <w:t>spur local competition and</w:t>
      </w:r>
      <w:r>
        <w:rPr>
          <w:b/>
          <w:i w:val="0"/>
          <w:smallCaps w:val="0"/>
          <w:strike w:val="0"/>
          <w:sz w:val="22"/>
          <w:u w:val="single"/>
        </w:rPr>
        <w:t xml:space="preserve"> institutional </w:t>
      </w:r>
      <w:r>
        <w:rPr>
          <w:b/>
          <w:i w:val="0"/>
          <w:smallCaps w:val="0"/>
          <w:strike w:val="0"/>
          <w:sz w:val="22"/>
          <w:highlight w:val="cyan"/>
          <w:u w:val="single"/>
        </w:rPr>
        <w:t>innovation</w:t>
      </w:r>
      <w:r>
        <w:rPr>
          <w:b/>
          <w:i w:val="0"/>
          <w:smallCaps w:val="0"/>
          <w:strike w:val="0"/>
          <w:sz w:val="22"/>
          <w:u w:val="single"/>
        </w:rPr>
        <w:t>.</w:t>
      </w:r>
      <w:r>
        <w:rPr>
          <w:b w:val="0"/>
          <w:i w:val="0"/>
          <w:smallCaps w:val="0"/>
          <w:strike w:val="0"/>
          <w:sz w:val="16"/>
          <w:u w:val="none"/>
        </w:rPr>
        <w:t xml:space="preserve"> </w:t>
      </w:r>
      <w:r>
        <w:rPr>
          <w:b w:val="0"/>
          <w:i w:val="0"/>
          <w:smallCaps w:val="0"/>
          <w:strike w:val="0"/>
          <w:sz w:val="22"/>
          <w:highlight w:val="cyan"/>
          <w:u w:val="single"/>
        </w:rPr>
        <w:t>It can do this while complying with</w:t>
      </w:r>
      <w:r>
        <w:rPr>
          <w:b w:val="0"/>
          <w:i w:val="0"/>
          <w:smallCaps w:val="0"/>
          <w:strike w:val="0"/>
          <w:sz w:val="22"/>
          <w:u w:val="single"/>
        </w:rPr>
        <w:t xml:space="preserve"> international </w:t>
      </w:r>
      <w:r>
        <w:rPr>
          <w:b w:val="0"/>
          <w:i w:val="0"/>
          <w:smallCaps w:val="0"/>
          <w:strike w:val="0"/>
          <w:sz w:val="22"/>
          <w:highlight w:val="cyan"/>
          <w:u w:val="single"/>
        </w:rPr>
        <w:t>treaty requirements</w:t>
      </w:r>
      <w:r>
        <w:rPr>
          <w:b w:val="0"/>
          <w:i w:val="0"/>
          <w:smallCaps w:val="0"/>
          <w:strike w:val="0"/>
          <w:sz w:val="22"/>
          <w:u w:val="single"/>
        </w:rPr>
        <w:t>, given that national patent laws maintain a level of protection no lower than these treaties necessitate and that</w:t>
      </w:r>
      <w:r>
        <w:rPr>
          <w:b w:val="0"/>
          <w:i w:val="0"/>
          <w:smallCaps w:val="0"/>
          <w:strike w:val="0"/>
          <w:sz w:val="16"/>
          <w:u w:val="none"/>
        </w:rPr>
        <w:t xml:space="preserve"> </w:t>
      </w:r>
      <w:r>
        <w:rPr>
          <w:b w:val="0"/>
          <w:i w:val="0"/>
          <w:smallCaps w:val="0"/>
          <w:strike w:val="0"/>
          <w:sz w:val="22"/>
          <w:u w:val="single"/>
        </w:rPr>
        <w:t>local patent laws do not decrease the protection level of the national laws</w:t>
      </w:r>
      <w:r>
        <w:rPr>
          <w:b w:val="0"/>
          <w:i w:val="0"/>
          <w:smallCaps w:val="0"/>
          <w:strike w:val="0"/>
          <w:sz w:val="16"/>
          <w:u w:val="none"/>
        </w:rPr>
        <w:t>. However, the model also faces challenges regarding potential inconsistency, rent-seeking behaviors, and local protectionism.</w:t>
      </w:r>
    </w:p>
    <w:p>
      <w:pPr>
        <w:spacing w:after="60"/>
      </w:pPr>
      <w:r>
        <w:rPr>
          <w:b w:val="0"/>
          <w:i w:val="0"/>
          <w:smallCaps w:val="0"/>
          <w:strike w:val="0"/>
          <w:sz w:val="16"/>
          <w:u w:val="none"/>
        </w:rPr>
        <w:t xml:space="preserve"> [*304</w:t>
      </w:r>
      <w:r>
        <w:rPr>
          <w:b w:val="0"/>
          <w:i w:val="0"/>
          <w:smallCaps w:val="0"/>
          <w:strike w:val="0"/>
          <w:sz w:val="16"/>
          <w:u w:val="none"/>
        </w:rPr>
        <w:t>]  The</w:t>
      </w:r>
      <w:r>
        <w:rPr>
          <w:b w:val="0"/>
          <w:i w:val="0"/>
          <w:smallCaps w:val="0"/>
          <w:strike w:val="0"/>
          <w:sz w:val="16"/>
          <w:u w:val="none"/>
        </w:rPr>
        <w:t xml:space="preserve"> examination of this </w:t>
      </w:r>
      <w:r>
        <w:rPr>
          <w:b w:val="0"/>
          <w:i w:val="0"/>
          <w:smallCaps w:val="0"/>
          <w:strike w:val="0"/>
          <w:sz w:val="22"/>
          <w:u w:val="single"/>
        </w:rPr>
        <w:t>semi-decentralized patent legislation model opens new avenues for understanding legislative diversity</w:t>
      </w:r>
      <w:r>
        <w:rPr>
          <w:b w:val="0"/>
          <w:i w:val="0"/>
          <w:smallCaps w:val="0"/>
          <w:strike w:val="0"/>
          <w:sz w:val="16"/>
          <w:u w:val="none"/>
        </w:rPr>
        <w:t>, stimulating further scholarly discourse. Beyond introducing a novel case study in intellectual property law within a particular national context, it also offers fresh perspectives on the institutional designs of federal and unitary governments in addressing innovation issues.</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