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Follow on happens and is superior to the plan</w:t>
      </w:r>
    </w:p>
    <w:p>
      <w:pPr>
        <w:spacing w:after="80"/>
      </w:pPr>
      <w:r>
        <w:rPr>
          <w:b/>
          <w:i w:val="0"/>
          <w:smallCaps w:val="0"/>
          <w:strike w:val="0"/>
          <w:sz w:val="26"/>
          <w:u w:val="none"/>
        </w:rPr>
        <w:t>Nguyen 10</w:t>
      </w:r>
      <w:r>
        <w:rPr>
          <w:b/>
          <w:i w:val="0"/>
          <w:smallCaps w:val="0"/>
          <w:strike w:val="0"/>
          <w:sz w:val="26"/>
          <w:u w:val="none"/>
        </w:rPr>
        <w:t xml:space="preserve"> </w:t>
      </w:r>
      <w:r>
        <w:rPr>
          <w:b w:val="0"/>
          <w:i w:val="0"/>
          <w:smallCaps w:val="0"/>
          <w:strike w:val="0"/>
          <w:sz w:val="26"/>
          <w:u w:val="none"/>
        </w:rPr>
        <w:t xml:space="preserve">(XUAN-THAO NGUYEN, Indiana University Gerald L. Bepko Chair in Law &amp; Director Center for IP &amp; Innovation, “Dynamic Federalism and Patent Law Reform” 2010, </w:t>
      </w:r>
      <w:r>
        <w:rPr>
          <w:b w:val="0"/>
          <w:i w:val="0"/>
          <w:smallCaps w:val="0"/>
          <w:strike w:val="0"/>
          <w:sz w:val="26"/>
          <w:u w:val="none"/>
        </w:rPr>
        <w:t>, LF)</w:t>
      </w:r>
    </w:p>
    <w:p>
      <w:pPr>
        <w:spacing w:after="60"/>
      </w:pPr>
      <w:r>
        <w:rPr>
          <w:b w:val="0"/>
          <w:i w:val="0"/>
          <w:smallCaps w:val="0"/>
          <w:strike w:val="0"/>
          <w:u w:val="none"/>
        </w:rPr>
        <w:t xml:space="preserve">The successful </w:t>
      </w:r>
      <w:r>
        <w:rPr>
          <w:b w:val="0"/>
          <w:i w:val="0"/>
          <w:smallCaps w:val="0"/>
          <w:strike w:val="0"/>
          <w:sz w:val="22"/>
          <w:u w:val="single"/>
        </w:rPr>
        <w:t>local patent-law-reform movement highlights the role of localities as laboratories and agents for change that impacts both local and national levels</w:t>
      </w:r>
      <w:r>
        <w:rPr>
          <w:b w:val="0"/>
          <w:i w:val="0"/>
          <w:smallCaps w:val="0"/>
          <w:strike w:val="0"/>
          <w:u w:val="none"/>
        </w:rPr>
        <w:t xml:space="preserve">. </w:t>
      </w:r>
      <w:r>
        <w:rPr>
          <w:b w:val="0"/>
          <w:i w:val="0"/>
          <w:smallCaps w:val="0"/>
          <w:strike w:val="0"/>
          <w:sz w:val="22"/>
          <w:u w:val="single"/>
        </w:rPr>
        <w:t xml:space="preserve">The successful results from judges and local bar associations working together to control patent litigation, curb tactical abuses, reduce costs, deliver swift justice, and enhance judicial expertise in patent cases demonstrates why true patent reformers should recognize the positive steps taken by the </w:t>
      </w:r>
      <w:r>
        <w:rPr>
          <w:b/>
          <w:i w:val="0"/>
          <w:smallCaps w:val="0"/>
          <w:strike w:val="0"/>
          <w:sz w:val="22"/>
          <w:u w:val="single"/>
        </w:rPr>
        <w:t xml:space="preserve">local level forge a major national overhaul of the patent system. </w:t>
      </w:r>
      <w:r>
        <w:rPr>
          <w:b w:val="0"/>
          <w:i w:val="0"/>
          <w:smallCaps w:val="0"/>
          <w:strike w:val="0"/>
          <w:sz w:val="22"/>
          <w:u w:val="single"/>
        </w:rPr>
        <w:t>Reform at the local level is even more important given that Congress has not been able to revamp the patent system in</w:t>
      </w:r>
      <w:r>
        <w:rPr>
          <w:b w:val="0"/>
          <w:i w:val="0"/>
          <w:smallCaps w:val="0"/>
          <w:strike w:val="0"/>
          <w:u w:val="none"/>
        </w:rPr>
        <w:t xml:space="preserve"> the last couple of years, and the Supreme Court is unpredictable in its injection into patent reform. </w:t>
      </w:r>
      <w:r>
        <w:rPr>
          <w:b w:val="0"/>
          <w:i w:val="0"/>
          <w:smallCaps w:val="0"/>
          <w:strike w:val="0"/>
          <w:sz w:val="22"/>
          <w:u w:val="single"/>
        </w:rPr>
        <w:t>Local patent reform is an example of dynamic federalism at work.</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