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Counterplan ensures innovation by allowing greater stakeholder participation preventing corruption and ensuring corporate lobbying does not dominate cases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Guan</w:t>
      </w:r>
      <w:r>
        <w:rPr>
          <w:b/>
          <w:i w:val="0"/>
          <w:smallCaps w:val="0"/>
          <w:strike w:val="0"/>
          <w:sz w:val="26"/>
          <w:u w:val="none"/>
        </w:rPr>
        <w:t xml:space="preserve"> 2</w:t>
      </w:r>
      <w:r>
        <w:rPr>
          <w:b/>
          <w:i w:val="0"/>
          <w:smallCaps w:val="0"/>
          <w:strike w:val="0"/>
          <w:sz w:val="26"/>
          <w:u w:val="none"/>
        </w:rPr>
        <w:t>4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Taori</w:t>
      </w:r>
      <w:r>
        <w:rPr>
          <w:b w:val="0"/>
          <w:i w:val="0"/>
          <w:smallCaps w:val="0"/>
          <w:strike w:val="0"/>
          <w:u w:val="none"/>
        </w:rPr>
        <w:t>; Chicago Journal of International Law;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ARTICLE: Cooperative Federalism and Patent Legislation: A Study Comparing China and the United States.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; advance-lexis-com.proxy.lib.umich.edu/api/document?collection=analytical-materials&amp;id=</w:t>
      </w:r>
      <w:r>
        <w:rPr>
          <w:b w:val="0"/>
          <w:i w:val="0"/>
          <w:smallCaps w:val="0"/>
          <w:strike w:val="0"/>
          <w:u w:val="none"/>
        </w:rPr>
        <w:t>urn:contentItem</w:t>
      </w:r>
      <w:r>
        <w:rPr>
          <w:b w:val="0"/>
          <w:i w:val="0"/>
          <w:smallCaps w:val="0"/>
          <w:strike w:val="0"/>
          <w:u w:val="none"/>
        </w:rPr>
        <w:t>:6BBP-B4N1-JC8V-42D0-00000-00&amp;context=1519360; Lowell-CS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third </w:t>
      </w:r>
      <w:r>
        <w:rPr>
          <w:b w:val="0"/>
          <w:i w:val="0"/>
          <w:smallCaps w:val="0"/>
          <w:strike w:val="0"/>
          <w:sz w:val="22"/>
          <w:u w:val="single"/>
        </w:rPr>
        <w:t>limitation</w:t>
      </w:r>
      <w:r>
        <w:rPr>
          <w:b w:val="0"/>
          <w:i w:val="0"/>
          <w:smallCaps w:val="0"/>
          <w:strike w:val="0"/>
          <w:u w:val="none"/>
        </w:rPr>
        <w:t xml:space="preserve"> is that legal reforms </w:t>
      </w:r>
      <w:r>
        <w:rPr>
          <w:b w:val="0"/>
          <w:i w:val="0"/>
          <w:smallCaps w:val="0"/>
          <w:strike w:val="0"/>
          <w:sz w:val="22"/>
          <w:u w:val="single"/>
        </w:rPr>
        <w:t>through the court system can lead to insufficient participation from stakeholders.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Local stakeholders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especially those who have not instigated these cases,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limited opportunities to influence judicial interpretation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directly.</w:t>
      </w:r>
      <w:r>
        <w:rPr>
          <w:b w:val="0"/>
          <w:i w:val="0"/>
          <w:smallCaps w:val="0"/>
          <w:strike w:val="0"/>
          <w:u w:val="none"/>
        </w:rPr>
        <w:t xml:space="preserve"> This is because courts base their decisions primarily on the legal arguments that the parties involved in the litigation present. Conversely,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stakeholders can offer direct input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helps to shape local legislation,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ensuring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reflect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priorities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needs</w:t>
      </w:r>
      <w:r>
        <w:rPr>
          <w:b w:val="0"/>
          <w:i w:val="0"/>
          <w:smallCaps w:val="0"/>
          <w:strike w:val="0"/>
          <w:u w:val="none"/>
        </w:rPr>
        <w:t xml:space="preserve">. Some critics argue that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Circuit's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jurisprudence has become isolated and disconnected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technological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communities it affects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236 Comparatively,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when local governments have legislative authority</w:t>
      </w:r>
      <w:r>
        <w:rPr>
          <w:b w:val="0"/>
          <w:i w:val="0"/>
          <w:smallCaps w:val="0"/>
          <w:strike w:val="0"/>
          <w:u w:val="none"/>
        </w:rPr>
        <w:t xml:space="preserve">, as is the case in China,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local citizens can also advocate for legal reforms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tailored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specific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needs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influencing local legislation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through public consultations</w:t>
      </w:r>
      <w:r>
        <w:rPr>
          <w:b w:val="0"/>
          <w:i w:val="0"/>
          <w:smallCaps w:val="0"/>
          <w:strike w:val="0"/>
          <w:u w:val="none"/>
        </w:rPr>
        <w:t xml:space="preserve">,237 expressing views to representatives,238 and collaborating with NGOs.239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approach allows for more informed legislation.</w:t>
      </w:r>
      <w:r>
        <w:rPr>
          <w:b w:val="0"/>
          <w:i w:val="0"/>
          <w:smallCaps w:val="0"/>
          <w:strike w:val="0"/>
          <w:u w:val="none"/>
        </w:rPr>
        <w:t xml:space="preserve"> Moreover, Article 87 of the Legislative Law of China requires local legislators to make drafts public and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solicit the public's opinions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>240 Stakeholders can also influence legislation by providing comments.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