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the feds have the authority to do the plan – CP </w:t>
      </w:r>
      <w:r>
        <w:rPr>
          <w:b/>
          <w:i w:val="0"/>
          <w:smallCaps w:val="0"/>
          <w:strike w:val="0"/>
          <w:sz w:val="26"/>
          <w:u w:val="none"/>
        </w:rPr>
        <w:t>never gets off the ground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Ginsburg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96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Jane C. Ginsburg</w:t>
      </w:r>
      <w:r>
        <w:rPr>
          <w:b w:val="0"/>
          <w:i w:val="0"/>
          <w:smallCaps w:val="0"/>
          <w:strike w:val="0"/>
          <w:u w:val="none"/>
        </w:rPr>
        <w:t xml:space="preserve"> is a professor at Columbia Law School</w:t>
      </w:r>
      <w:r>
        <w:rPr>
          <w:b w:val="0"/>
          <w:i w:val="0"/>
          <w:smallCaps w:val="0"/>
          <w:strike w:val="0"/>
          <w:u w:val="none"/>
        </w:rPr>
        <w:t>; “</w:t>
      </w:r>
      <w:r>
        <w:rPr>
          <w:b w:val="0"/>
          <w:i w:val="0"/>
          <w:smallCaps w:val="0"/>
          <w:strike w:val="0"/>
          <w:u w:val="none"/>
        </w:rPr>
        <w:t>U. S. Federalism and Intellectual Property</w:t>
      </w:r>
      <w:r>
        <w:rPr>
          <w:b w:val="0"/>
          <w:i w:val="0"/>
          <w:smallCaps w:val="0"/>
          <w:strike w:val="0"/>
          <w:u w:val="none"/>
        </w:rPr>
        <w:t xml:space="preserve">”; </w:t>
      </w:r>
      <w:r>
        <w:rPr>
          <w:b w:val="0"/>
          <w:i w:val="0"/>
          <w:smallCaps w:val="0"/>
          <w:strike w:val="0"/>
          <w:u w:val="none"/>
        </w:rPr>
        <w:t>1996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https://scholarship.law.columbia.edu/faculty_scholarship/3578/</w:t>
      </w:r>
      <w:r>
        <w:rPr>
          <w:b w:val="0"/>
          <w:i w:val="0"/>
          <w:smallCaps w:val="0"/>
          <w:strike w:val="0"/>
          <w:u w:val="none"/>
        </w:rPr>
        <w:t>]//aanya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Federal statutes regulate patents,7 copyrights,8 and trademarks.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9 Indeed, national legislation provides that </w:t>
      </w:r>
      <w:r>
        <w:rPr>
          <w:b w:val="0"/>
          <w:i w:val="0"/>
          <w:smallCaps w:val="0"/>
          <w:strike w:val="0"/>
          <w:u w:val="single"/>
        </w:rPr>
        <w:t>only federal law may govern copyright subject matter,10 and that the federal courts alone may judge patent and copyright claims.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11 In addition, the United States </w:t>
      </w:r>
      <w:r>
        <w:rPr>
          <w:b w:val="0"/>
          <w:i w:val="0"/>
          <w:smallCaps w:val="0"/>
          <w:strike w:val="0"/>
          <w:u w:val="single"/>
        </w:rPr>
        <w:t>Supreme Court has emphasized exclusive federal authority to grant patents.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12 By contrast, Congress has, in most instances, left trademarks to concurrent state and federal ordering, 13 although </w:t>
      </w:r>
      <w:r>
        <w:rPr>
          <w:b w:val="0"/>
          <w:i w:val="0"/>
          <w:smallCaps w:val="0"/>
          <w:strike w:val="0"/>
          <w:u w:val="single"/>
        </w:rPr>
        <w:t>the national uniformity advantages of federal trademark registration and regulation are sufficiently great that congressional enactments set forth the dominant law in this realm. 14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