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Empirics demonstrate that states cannot enforce trademark dilution laws.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Ginsburg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96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Jane C. Ginsburg</w:t>
      </w:r>
      <w:r>
        <w:rPr>
          <w:b w:val="0"/>
          <w:i w:val="0"/>
          <w:smallCaps w:val="0"/>
          <w:strike w:val="0"/>
          <w:u w:val="none"/>
        </w:rPr>
        <w:t xml:space="preserve"> is a professor at Columbia Law School</w:t>
      </w:r>
      <w:r>
        <w:rPr>
          <w:b w:val="0"/>
          <w:i w:val="0"/>
          <w:smallCaps w:val="0"/>
          <w:strike w:val="0"/>
          <w:u w:val="none"/>
        </w:rPr>
        <w:t>; “</w:t>
      </w:r>
      <w:r>
        <w:rPr>
          <w:b w:val="0"/>
          <w:i w:val="0"/>
          <w:smallCaps w:val="0"/>
          <w:strike w:val="0"/>
          <w:u w:val="none"/>
        </w:rPr>
        <w:t>U. S. Federalism and Intellectual Property</w:t>
      </w:r>
      <w:r>
        <w:rPr>
          <w:b w:val="0"/>
          <w:i w:val="0"/>
          <w:smallCaps w:val="0"/>
          <w:strike w:val="0"/>
          <w:u w:val="none"/>
        </w:rPr>
        <w:t xml:space="preserve">”; </w:t>
      </w:r>
      <w:r>
        <w:rPr>
          <w:b w:val="0"/>
          <w:i w:val="0"/>
          <w:smallCaps w:val="0"/>
          <w:strike w:val="0"/>
          <w:u w:val="none"/>
        </w:rPr>
        <w:t>1996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https://scholarship.law.columbia.edu/faculty_scholarship/3578/</w:t>
      </w:r>
      <w:r>
        <w:rPr>
          <w:b w:val="0"/>
          <w:i w:val="0"/>
          <w:smallCaps w:val="0"/>
          <w:strike w:val="0"/>
          <w:u w:val="none"/>
        </w:rPr>
        <w:t>]//aanya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Although several of the twenty-seven states with anti-dilution statutes had generated a considerable case law,66 dilution doctrine suffered from the usual failings of state intellectual property protection in a federal system: </w:t>
      </w:r>
      <w:r>
        <w:rPr>
          <w:b w:val="0"/>
          <w:i w:val="0"/>
          <w:smallCaps w:val="0"/>
          <w:strike w:val="0"/>
          <w:u w:val="single"/>
        </w:rPr>
        <w:t>disuniformity</w:t>
      </w:r>
      <w:r>
        <w:rPr>
          <w:b w:val="0"/>
          <w:i w:val="0"/>
          <w:smallCaps w:val="0"/>
          <w:strike w:val="0"/>
          <w:u w:val="single"/>
        </w:rPr>
        <w:t xml:space="preserve"> and territoriality.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Indeed, for more than ten years preceding the new federal statute, </w:t>
      </w:r>
      <w:r>
        <w:rPr>
          <w:b w:val="0"/>
          <w:i w:val="0"/>
          <w:smallCaps w:val="0"/>
          <w:strike w:val="0"/>
          <w:u w:val="single"/>
        </w:rPr>
        <w:t>commentators had called for uniform federal regulation.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67 In 1987 the United States Trademark Association (now </w:t>
      </w:r>
      <w:r>
        <w:rPr>
          <w:b w:val="0"/>
          <w:i w:val="0"/>
          <w:smallCaps w:val="0"/>
          <w:strike w:val="0"/>
          <w:u w:val="single"/>
        </w:rPr>
        <w:t>the International Trademark Association, INTA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 w:val="0"/>
          <w:i w:val="0"/>
          <w:smallCaps w:val="0"/>
          <w:strike w:val="0"/>
          <w:u w:val="single"/>
        </w:rPr>
        <w:t xml:space="preserve">proposed a federal anti-dilution amendment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as part of the 1988 trademark law revision, but the amendment was ultimately withdrawn. A similar text passed, however, in January 1996, with the support of many trademark owners. </w:t>
      </w:r>
      <w:r>
        <w:rPr>
          <w:b w:val="0"/>
          <w:i w:val="0"/>
          <w:smallCaps w:val="0"/>
          <w:strike w:val="0"/>
          <w:u w:val="single"/>
        </w:rPr>
        <w:t>Those who testified in favor of federalizing dilution emphasized the need for uniformity</w:t>
      </w:r>
      <w:r>
        <w:rPr>
          <w:b w:val="0"/>
          <w:i w:val="0"/>
          <w:smallCaps w:val="0"/>
          <w:strike w:val="0"/>
          <w:sz w:val="16"/>
          <w:u w:val="none"/>
        </w:rPr>
        <w:t>, and for nationwide injunctions.68 As with the new federal right of fixation of live musical performances, the TRIPs accord may have supplied further impetus for legislative action. Article 16;3 of that agreement mandates a kind of dilution protection, more limited than that available in some states, but, of course, more extensive than that available in the twenty-three states that had no anti-dilution measures.69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