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K’s of IP </w:t>
      </w:r>
      <w:r>
        <w:rPr>
          <w:b/>
          <w:i w:val="0"/>
          <w:smallCaps w:val="0"/>
          <w:strike w:val="0"/>
          <w:sz w:val="26"/>
          <w:u w:val="single"/>
        </w:rPr>
        <w:t>invert</w:t>
      </w:r>
      <w:r>
        <w:rPr>
          <w:b/>
          <w:i w:val="0"/>
          <w:smallCaps w:val="0"/>
          <w:strike w:val="0"/>
          <w:sz w:val="26"/>
          <w:u w:val="none"/>
        </w:rPr>
        <w:t xml:space="preserve"> the problem. Property should be </w:t>
      </w:r>
      <w:r>
        <w:rPr>
          <w:b/>
          <w:i w:val="0"/>
          <w:smallCaps w:val="0"/>
          <w:strike w:val="0"/>
          <w:sz w:val="26"/>
          <w:u w:val="single"/>
        </w:rPr>
        <w:t>expanded</w:t>
      </w:r>
      <w:r>
        <w:rPr>
          <w:b/>
          <w:i w:val="0"/>
          <w:smallCaps w:val="0"/>
          <w:strike w:val="0"/>
          <w:sz w:val="26"/>
          <w:u w:val="single"/>
        </w:rPr>
        <w:t xml:space="preserve"> not abandoned</w:t>
      </w:r>
      <w:r>
        <w:rPr>
          <w:b/>
          <w:i w:val="0"/>
          <w:smallCaps w:val="0"/>
          <w:strike w:val="0"/>
          <w:sz w:val="26"/>
          <w:u w:val="none"/>
        </w:rPr>
        <w:t xml:space="preserve"> to account for cultural protections.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Turkewitz 21</w:t>
      </w:r>
      <w:r>
        <w:rPr>
          <w:b w:val="0"/>
          <w:i w:val="0"/>
          <w:smallCaps w:val="0"/>
          <w:strike w:val="0"/>
          <w:sz w:val="22"/>
          <w:u w:val="none"/>
        </w:rPr>
        <w:t>, Arts advocate. Warning about libertarian definitions of freedom that fail to consider asymmetrical power since 1996 (Neil, “Blurry Lines: The Complex Intersection of Race &amp; Intellectual Property,” Medium, https://medium.com/the-shadow/blurry-lines-the-complex-intersection-of-race-intellectual-property-fe88e64d4058)//BB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This underscores that, as Professor Vats has observed, intellectual property standards are built on racial scripts, and that such gaps can — and frequently do — operate to deny ownership on the basis of race, or at least in a manner largely aligned with race. But </w:t>
      </w:r>
      <w:r>
        <w:rPr>
          <w:b w:val="0"/>
          <w:i w:val="0"/>
          <w:smallCaps w:val="0"/>
          <w:strike w:val="0"/>
          <w:sz w:val="22"/>
          <w:u w:val="single"/>
        </w:rPr>
        <w:t>the point I want to stress is that whether in the halls of WIPO, national capitals around the world seeking to address protection of folklore/traditional cultural expression, or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reflected in the Blurred Lines case, the relevant “racial script” that operates to the disadvantage of people of color </w:t>
      </w:r>
      <w:r>
        <w:rPr>
          <w:b/>
          <w:i w:val="0"/>
          <w:smallCaps w:val="0"/>
          <w:strike w:val="0"/>
          <w:sz w:val="28"/>
          <w:u w:val="single"/>
        </w:rPr>
        <w:t>relates to limitations on the scope of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8"/>
          <w:u w:val="single"/>
        </w:rPr>
        <w:t>not to an excess thereof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This is not to suggest that issues of access and use do not pose special challenges for communities of color — only to highlight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accurate narrative concerning race and intellectual property is complex, and involves, in large part, the </w:t>
      </w:r>
      <w:r>
        <w:rPr>
          <w:b/>
          <w:i w:val="0"/>
          <w:smallCaps w:val="0"/>
          <w:strike w:val="0"/>
          <w:sz w:val="22"/>
          <w:u w:val="single"/>
        </w:rPr>
        <w:t>failure to provide adequate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cultural productions</w:t>
      </w:r>
      <w:r>
        <w:rPr>
          <w:b w:val="0"/>
          <w:i w:val="0"/>
          <w:smallCaps w:val="0"/>
          <w:strike w:val="0"/>
          <w:sz w:val="22"/>
          <w:u w:val="none"/>
        </w:rPr>
        <w:t>.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