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Ending prisons doesn’t address the underlying conditions that enabled them to begin with – their lack of an alternative reproduces the same oppressions they attempt to break down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Ben-Moshe 13 </w:t>
      </w:r>
      <w:r>
        <w:rPr>
          <w:b w:val="0"/>
          <w:i w:val="0"/>
          <w:smallCaps w:val="0"/>
          <w:strike w:val="0"/>
          <w:sz w:val="22"/>
          <w:u w:val="none"/>
        </w:rPr>
        <w:t>– PhD in Sociology, Syracuse University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(Liat, “The Tension between Abolition and Reform,” </w:t>
      </w:r>
      <w:r>
        <w:rPr>
          <w:b w:val="0"/>
          <w:i/>
          <w:smallCaps w:val="0"/>
          <w:strike w:val="0"/>
          <w:sz w:val="22"/>
          <w:u w:val="none"/>
        </w:rPr>
        <w:t>The End of Prisons. Reflections from the Decarceration Movement</w:t>
      </w:r>
      <w:r>
        <w:rPr>
          <w:b w:val="0"/>
          <w:i w:val="0"/>
          <w:smallCaps w:val="0"/>
          <w:strike w:val="0"/>
          <w:sz w:val="22"/>
          <w:u w:val="none"/>
        </w:rPr>
        <w:t>,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2013)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Closure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repressive institutions, such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mental hospitals 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prisons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can be conceptualized as a necessary but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not sufficient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action on the road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to aboli-tion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most important element in institutional closure is to ensure that peo- ple do not end up re-incarcerated in other formats such as group homes or other institutional placements (Blatt et al., 1977). In this sense the effective-ness of deinstitutionalization as a movement is in ensuring community living, with all needed supports, not merely in the closure of the institution, which is only a first step. This ideological stance may create a dilemma. </w:t>
      </w:r>
      <w:r>
        <w:rPr>
          <w:b w:val="0"/>
          <w:i w:val="0"/>
          <w:smallCaps w:val="0"/>
          <w:strike w:val="0"/>
          <w:sz w:val="22"/>
          <w:u w:val="single"/>
        </w:rPr>
        <w:t>Should propo-nents of deinstitutionalization wait until there are sufficient community place-ments before advocating for institutional closure? Or, should they go ahead regardless, on the principle that no one should live in an institution at any time?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the very dilemma posed by Mathiesen in regards to abolition in general. Taylor (1995/6) suggests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such cases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one should ask which path would lead to the least harm done to the fewest people.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questioning, he believes, would lead one to realize that institutional living is unjustifiable under any circumstances, even if community settings are imperfect at the present time.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mere closure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prisons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large state psychiatric institutions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does not necessarily entail a radical change in policy, attitudes, or the lived experiences of those incarcerated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Penal abolitionist Ruth Morris reflects on her experiences within the prison abolition movement in Canada and the United States: My objection to prisons is to something much more oppressive than closed buildings, or even locks and keys. It’s important to think this out, because otherwise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we delude ourselves about building alternatives when actually we are creating their very spirit in the community</w:t>
      </w:r>
      <w:r>
        <w:rPr>
          <w:b w:val="0"/>
          <w:i w:val="0"/>
          <w:smallCaps w:val="0"/>
          <w:strike w:val="0"/>
          <w:sz w:val="22"/>
          <w:u w:val="single"/>
        </w:rPr>
        <w:t>, destroying people just as effectively as any building with locks can possibly do.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(1989, p. 141)In this light,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closure in itself is still embedded within the same circuits of power that created such institutions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unless there is an epistemic shift in the way community, punishment, dis/ability and segregation are conceptualized. Therefore,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closure of prisons and institutions is only one step on the way to achieve a shift in perspective</w:t>
      </w:r>
      <w:r>
        <w:rPr>
          <w:b w:val="0"/>
          <w:i w:val="0"/>
          <w:smallCaps w:val="0"/>
          <w:strike w:val="0"/>
          <w:sz w:val="16"/>
          <w:u w:val="none"/>
        </w:rPr>
        <w:t>. Closure of large institutions has not led to free-dom for all disabled people, nor has it resulted in the radical acceptance of the fact of difference amongst us.</w:t>
      </w:r>
    </w:p>
    <w:p>
      <w:pPr>
        <w:pStyle w:val="Caption"/>
      </w:pPr>
      <w:r>
        <w:t>Source: Abolition Kritik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