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u w:val="none"/>
        </w:rPr>
        <w:t xml:space="preserve">Keeping patents is </w:t>
      </w:r>
      <w:r>
        <w:rPr>
          <w:b/>
          <w:i w:val="0"/>
          <w:smallCaps w:val="0"/>
          <w:strike w:val="0"/>
          <w:u w:val="single"/>
        </w:rPr>
        <w:t>necessary</w:t>
      </w:r>
      <w:r>
        <w:rPr>
          <w:b/>
          <w:i w:val="0"/>
          <w:smallCaps w:val="0"/>
          <w:strike w:val="0"/>
          <w:u w:val="none"/>
        </w:rPr>
        <w:t xml:space="preserve"> for open innovation – the plan creates a goldilocks approach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John </w:t>
      </w:r>
      <w:r>
        <w:rPr>
          <w:b/>
          <w:i w:val="0"/>
          <w:smallCaps w:val="0"/>
          <w:strike w:val="0"/>
          <w:sz w:val="22"/>
          <w:u w:val="none"/>
        </w:rPr>
        <w:t>Dubiansky 6</w:t>
      </w:r>
      <w:r>
        <w:rPr>
          <w:b w:val="0"/>
          <w:i w:val="0"/>
          <w:smallCaps w:val="0"/>
          <w:strike w:val="0"/>
          <w:u w:val="none"/>
        </w:rPr>
        <w:t xml:space="preserve">, J.D. from Harvard Law School, “The Role of Patents in Fostering Open Innovation,” Virginia Journal of Law &amp; Technology, Vol. 11, No. 7, Fall 2006, accessed via </w:t>
      </w:r>
      <w:r>
        <w:rPr>
          <w:b w:val="0"/>
          <w:i w:val="0"/>
          <w:smallCaps w:val="0"/>
          <w:strike w:val="0"/>
          <w:u w:val="none"/>
        </w:rPr>
        <w:t>HeinOnline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This article posits the following analysis: The theory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Open Innovation advocates 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established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firms can improve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their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innovative output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by purchasing ideas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outside firms. Third-party innovators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will </w:t>
      </w:r>
      <w:r>
        <w:rPr>
          <w:b w:val="0"/>
          <w:i w:val="0"/>
          <w:smallCaps w:val="0"/>
          <w:strike w:val="0"/>
          <w:sz w:val="22"/>
          <w:u w:val="single"/>
        </w:rPr>
        <w:t>participate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Open Innovation </w:t>
      </w:r>
      <w:r>
        <w:rPr>
          <w:b w:val="0"/>
          <w:i w:val="0"/>
          <w:smallCaps w:val="0"/>
          <w:strike w:val="0"/>
          <w:sz w:val="22"/>
          <w:u w:val="single"/>
        </w:rPr>
        <w:t>when incumbent firms possess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>complimentary assets and customer relationships necessary to commercialize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their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innovation. Open Innovation models best yield breakthroughs when innovations from technically distant fields are incorporated into incumbent products.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Innovations can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only be transferred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across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such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technical distances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when parties exchange tacit know-how. Know-how transfer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fraught with risks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which are </w:t>
      </w:r>
      <w:r>
        <w:rPr>
          <w:b w:val="0"/>
          <w:i w:val="0"/>
          <w:smallCaps w:val="0"/>
          <w:strike w:val="0"/>
          <w:sz w:val="22"/>
          <w:u w:val="single"/>
        </w:rPr>
        <w:t>exacerbated by the bargaining power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>the incumbent enjoys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over the innovator.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innovator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therefore,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requires patent protection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order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to provide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legal leverage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over the incumbent. Patent protection weakens when innovations are licensed over technical distances because there is a </w:t>
      </w:r>
      <w:r>
        <w:rPr>
          <w:b/>
          <w:i w:val="0"/>
          <w:smallCaps w:val="0"/>
          <w:strike w:val="0"/>
          <w:sz w:val="22"/>
          <w:u w:val="single"/>
        </w:rPr>
        <w:t>greater likelihood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>a blocking patent may be obtained on the final product</w:t>
      </w:r>
      <w:r>
        <w:rPr>
          <w:b w:val="0"/>
          <w:i w:val="0"/>
          <w:smallCaps w:val="0"/>
          <w:strike w:val="0"/>
          <w:sz w:val="16"/>
          <w:u w:val="none"/>
        </w:rPr>
        <w:t>. Therefore, private, reputation-based mechanisms are required to foster breakthrough Open Innovation systems.</w:t>
      </w:r>
    </w:p>
    <w:p>
      <w:pPr>
        <w:pStyle w:val="Caption"/>
      </w:pPr>
      <w:r>
        <w:t>Source: Patents Bad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