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National use of a sui generis system for TK (traditional knowledge) can lead to an international treaty </w:t>
      </w:r>
      <w:r>
        <w:rPr>
          <w:b/>
          <w:i w:val="0"/>
          <w:smallCaps w:val="0"/>
          <w:strike w:val="0"/>
          <w:sz w:val="26"/>
          <w:u w:val="none"/>
        </w:rPr>
        <w:t>in regards to</w:t>
      </w:r>
      <w:r>
        <w:rPr>
          <w:b/>
          <w:i w:val="0"/>
          <w:smallCaps w:val="0"/>
          <w:strike w:val="0"/>
          <w:sz w:val="26"/>
          <w:u w:val="none"/>
        </w:rPr>
        <w:t xml:space="preserve"> TK protection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Mathur 04 </w:t>
      </w:r>
      <w:r>
        <w:rPr>
          <w:b w:val="0"/>
          <w:i w:val="0"/>
          <w:smallCaps w:val="0"/>
          <w:strike w:val="0"/>
          <w:u w:val="none"/>
        </w:rPr>
        <w:t>[Ajeet Mathur</w:t>
      </w:r>
      <w:r>
        <w:rPr>
          <w:b w:val="0"/>
          <w:i w:val="0"/>
          <w:smallCaps w:val="0"/>
          <w:strike w:val="0"/>
          <w:u w:val="none"/>
        </w:rPr>
        <w:t xml:space="preserve"> is a Professor in strategy and international business with a Ph.D. in services management and over 35 years of corporate service, August 2004, “Missing markets in the world trade; the case for ‘Sui generis’ protection of traditional knowledge”,  </w:t>
      </w:r>
      <w:r>
        <w:rPr>
          <w:b w:val="0"/>
          <w:i w:val="0"/>
          <w:smallCaps w:val="0"/>
          <w:strike w:val="0"/>
          <w:u w:val="none"/>
        </w:rPr>
        <w:t>, accessed 7/11/24]</w:t>
      </w:r>
      <w:r>
        <w:rPr>
          <w:b w:val="0"/>
          <w:i w:val="0"/>
          <w:smallCaps w:val="0"/>
          <w:strike w:val="0"/>
          <w:u w:val="none"/>
        </w:rPr>
        <w:t>staghi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interest in sui generis systems-national and international, for protection of TK is a public policy objective that reflects the needs and expectations of communities, particularly traditional knowledge holders.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 IPRs, claims for international protection are considered only when national protection exists.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quest for protecting traditional knowledge within the cultures of knowledge traditions bound to IPR systems, as presently developed, is a futile search for a “procrustean bed for an ameboid phenomena” (Viswanathan, 2001). There is no reason to regard a functioning IPR frame as more perfect than one that mirrors a natural process or approximates a synthetic repository for a real flower or butterfly. IPR concepts are useful to describe the innovation tree but there is no reason to mistake concepts for the tree itself. Specification through documentation in a discrete representation can detract from and deny or devalue living processes.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pursuit of validity, </w:t>
      </w:r>
      <w:r>
        <w:rPr>
          <w:b w:val="0"/>
          <w:i w:val="0"/>
          <w:smallCaps w:val="0"/>
          <w:strike w:val="0"/>
          <w:sz w:val="22"/>
          <w:u w:val="single"/>
        </w:rPr>
        <w:t>standardisation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universalisation</w:t>
      </w:r>
      <w:r>
        <w:rPr>
          <w:b w:val="0"/>
          <w:i w:val="0"/>
          <w:smallCaps w:val="0"/>
          <w:strike w:val="0"/>
          <w:sz w:val="22"/>
          <w:u w:val="single"/>
        </w:rPr>
        <w:t>, uniqueness, authenticity and historicity are features of IPR regimes. If TK could be adapted to them, there would be no need to ponder over missing markets.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struggles for and against commodification are essentially about acquiring new IPRs.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Biopiracy and piracy of traditional knowledge is a global public bad. This may be mitigated if international cooperation replaces the paradigm of ‘external affairs’ with </w:t>
      </w:r>
      <w:r>
        <w:rPr>
          <w:b w:val="0"/>
          <w:i w:val="0"/>
          <w:smallCaps w:val="0"/>
          <w:strike w:val="0"/>
          <w:sz w:val="16"/>
          <w:u w:val="none"/>
        </w:rPr>
        <w:t>policy-making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</w:t>
      </w:r>
      <w:r>
        <w:rPr>
          <w:b w:val="0"/>
          <w:i w:val="0"/>
          <w:smallCaps w:val="0"/>
          <w:strike w:val="0"/>
          <w:sz w:val="16"/>
          <w:u w:val="none"/>
        </w:rPr>
        <w:t>internalise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externalities at source by </w:t>
      </w:r>
      <w:r>
        <w:rPr>
          <w:b w:val="0"/>
          <w:i w:val="0"/>
          <w:smallCaps w:val="0"/>
          <w:strike w:val="0"/>
          <w:sz w:val="16"/>
          <w:u w:val="none"/>
        </w:rPr>
        <w:t>recognising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provisioning ‘global public goods’.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recognition of traditional knowledge as a global public good may someday enable an international sui generis system to be </w:t>
      </w:r>
      <w:r>
        <w:rPr>
          <w:b w:val="0"/>
          <w:i w:val="0"/>
          <w:smallCaps w:val="0"/>
          <w:strike w:val="0"/>
          <w:sz w:val="22"/>
          <w:u w:val="single"/>
        </w:rPr>
        <w:t>operationalised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However, that would need the Convention on Biodiversity and TRIPS to be </w:t>
      </w:r>
      <w:r>
        <w:rPr>
          <w:b w:val="0"/>
          <w:i w:val="0"/>
          <w:smallCaps w:val="0"/>
          <w:strike w:val="0"/>
          <w:sz w:val="16"/>
          <w:u w:val="none"/>
        </w:rPr>
        <w:t>harmonised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enable WIPO, UNESCO, UNIDO, UNEP, FAO, WORLD BANK, WHO and UNDP to facilitate processes that may otherwise conflict with </w:t>
      </w:r>
      <w:r>
        <w:rPr>
          <w:b/>
          <w:i w:val="0"/>
          <w:smallCaps w:val="0"/>
          <w:strike w:val="0"/>
          <w:sz w:val="22"/>
          <w:u w:val="single"/>
        </w:rPr>
        <w:t>WTO. An international treaty providing ‘sui generis’ protection to traditional knowledge can be reached through WIPO or UNESCO or WTO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but the immediate prospects of doing so are fraught with considerable difficulties.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