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Current IP law fails to protect TCEs---Australia proves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Stoianoff</w:t>
      </w:r>
      <w:r>
        <w:rPr>
          <w:b/>
          <w:i w:val="0"/>
          <w:smallCaps w:val="0"/>
          <w:strike w:val="0"/>
          <w:sz w:val="26"/>
          <w:u w:val="none"/>
        </w:rPr>
        <w:t xml:space="preserve"> and Roy 15 </w:t>
      </w:r>
      <w:r>
        <w:rPr>
          <w:b w:val="0"/>
          <w:i w:val="0"/>
          <w:smallCaps w:val="0"/>
          <w:strike w:val="0"/>
          <w:u w:val="none"/>
        </w:rPr>
        <w:t xml:space="preserve">[Natalie </w:t>
      </w:r>
      <w:r>
        <w:rPr>
          <w:b w:val="0"/>
          <w:i w:val="0"/>
          <w:smallCaps w:val="0"/>
          <w:strike w:val="0"/>
          <w:u w:val="none"/>
        </w:rPr>
        <w:t>Stoianoff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 xml:space="preserve">is a professor and director of the Intellectual Property Program at the Faculty of Law at the University of Technology Sydney, Alpana Roy holds a BA in Social Science and a MA in Journalism with the University of Technology Sydney and a Bachelors of Law with Honors from the University of Sydney, Dec. 2015, “Indigenous knowledge and culture in Australia – the case for sui generis legislation”, </w:t>
      </w:r>
      <w:r>
        <w:rPr>
          <w:b w:val="0"/>
          <w:i/>
          <w:smallCaps w:val="0"/>
          <w:strike w:val="0"/>
          <w:u w:val="none"/>
        </w:rPr>
        <w:t>Monash University Law Review Vol. 41, Issue 3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>, accessed 7/5/24]</w:t>
      </w:r>
      <w:r>
        <w:rPr>
          <w:b w:val="0"/>
          <w:i w:val="0"/>
          <w:smallCaps w:val="0"/>
          <w:strike w:val="0"/>
          <w:u w:val="none"/>
        </w:rPr>
        <w:t>staghi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Traditional cultural expressions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such as expressions of folklore, Indigenous art and handicrafts and music and performance </w:t>
      </w:r>
      <w:r>
        <w:rPr>
          <w:b w:val="0"/>
          <w:i w:val="0"/>
          <w:smallCaps w:val="0"/>
          <w:strike w:val="0"/>
          <w:sz w:val="22"/>
          <w:u w:val="single"/>
        </w:rPr>
        <w:t>have received protection under the Australian Copyright Act 1968 (</w:t>
      </w:r>
      <w:r>
        <w:rPr>
          <w:b w:val="0"/>
          <w:i w:val="0"/>
          <w:smallCaps w:val="0"/>
          <w:strike w:val="0"/>
          <w:sz w:val="22"/>
          <w:u w:val="single"/>
        </w:rPr>
        <w:t>Cth</w:t>
      </w:r>
      <w:r>
        <w:rPr>
          <w:b w:val="0"/>
          <w:i w:val="0"/>
          <w:smallCaps w:val="0"/>
          <w:strike w:val="0"/>
          <w:sz w:val="22"/>
          <w:u w:val="single"/>
        </w:rPr>
        <w:t>)--albeit to a limited extent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The outcomes of the copyright cases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the 1990s discussed above in Part II </w:t>
      </w:r>
      <w:r>
        <w:rPr>
          <w:b w:val="0"/>
          <w:i w:val="0"/>
          <w:smallCaps w:val="0"/>
          <w:strike w:val="0"/>
          <w:sz w:val="22"/>
          <w:u w:val="single"/>
        </w:rPr>
        <w:t>make it plain that while individual Indigenous artists can easily be afforded protection under the Act, the communities to which the artist is responsible cannot.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What this </w:t>
      </w:r>
      <w:r>
        <w:rPr>
          <w:b/>
          <w:i w:val="0"/>
          <w:smallCaps w:val="0"/>
          <w:strike w:val="0"/>
          <w:sz w:val="22"/>
          <w:u w:val="single"/>
        </w:rPr>
        <w:t xml:space="preserve">series of cases demonstrates is a clear inability of Australian copyright law to deal with the collective nature of traditional cultural expressions and </w:t>
      </w:r>
      <w:r>
        <w:rPr>
          <w:b/>
          <w:i w:val="0"/>
          <w:smallCaps w:val="0"/>
          <w:strike w:val="0"/>
          <w:sz w:val="22"/>
          <w:u w:val="single"/>
        </w:rPr>
        <w:t>knowledge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16"/>
          <w:u w:val="non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reinforces its ineptness to accommodate customary law unless there is a specific provision to allow for it.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This </w:t>
      </w:r>
      <w:r>
        <w:rPr>
          <w:b/>
          <w:i w:val="0"/>
          <w:smallCaps w:val="0"/>
          <w:strike w:val="0"/>
          <w:sz w:val="22"/>
          <w:u w:val="single"/>
        </w:rPr>
        <w:t xml:space="preserve">clearly </w:t>
      </w:r>
      <w:r>
        <w:rPr>
          <w:b/>
          <w:i w:val="0"/>
          <w:smallCaps w:val="0"/>
          <w:strike w:val="0"/>
          <w:sz w:val="22"/>
          <w:u w:val="single"/>
        </w:rPr>
        <w:t>emphasises</w:t>
      </w:r>
      <w:r>
        <w:rPr>
          <w:b/>
          <w:i w:val="0"/>
          <w:smallCaps w:val="0"/>
          <w:strike w:val="0"/>
          <w:sz w:val="22"/>
          <w:u w:val="single"/>
        </w:rPr>
        <w:t xml:space="preserve"> the need for sui generis legislation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the protection of such customary and communal expressions and knowledge.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This remains the case even though the folklore provisions of the Copyright Act 1968 (</w:t>
      </w:r>
      <w:r>
        <w:rPr>
          <w:b w:val="0"/>
          <w:i w:val="0"/>
          <w:smallCaps w:val="0"/>
          <w:strike w:val="0"/>
          <w:sz w:val="16"/>
          <w:u w:val="none"/>
        </w:rPr>
        <w:t>Cth</w:t>
      </w:r>
      <w:r>
        <w:rPr>
          <w:b w:val="0"/>
          <w:i w:val="0"/>
          <w:smallCaps w:val="0"/>
          <w:strike w:val="0"/>
          <w:sz w:val="16"/>
          <w:u w:val="none"/>
        </w:rPr>
        <w:t>) provided some recognition. These provisions were made available due to the Australia-United States Free Trade Agreement (entered into force on 1 January 2005</w:t>
      </w:r>
      <w:r>
        <w:rPr>
          <w:b w:val="0"/>
          <w:i w:val="0"/>
          <w:smallCaps w:val="0"/>
          <w:strike w:val="0"/>
          <w:sz w:val="16"/>
          <w:u w:val="none"/>
        </w:rPr>
        <w:t>), 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were achieved through the definition of 'live performance'. The performer of the expression of folklore becomes a joint owner with the maker of the sound recording--acquiring moral rights in his/her performance--and </w:t>
      </w:r>
      <w:r>
        <w:rPr>
          <w:b w:val="0"/>
          <w:i w:val="0"/>
          <w:smallCaps w:val="0"/>
          <w:strike w:val="0"/>
          <w:sz w:val="16"/>
          <w:u w:val="none"/>
        </w:rPr>
        <w:t>is able 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exercise performers' protection for a live performance. (114) While not a collective right, it does provide some protection for </w:t>
      </w:r>
      <w:r>
        <w:rPr>
          <w:b w:val="0"/>
          <w:i w:val="0"/>
          <w:smallCaps w:val="0"/>
          <w:strike w:val="0"/>
          <w:sz w:val="16"/>
          <w:u w:val="none"/>
        </w:rPr>
        <w:t xml:space="preserve"> by the performers --although it must be kept in mind that it is jointly owned with the recorder of the performance.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(TCE – traditional culture expression)</w:t>
      </w:r>
    </w:p>
    <w:p>
      <w:pPr>
        <w:pStyle w:val="Caption"/>
      </w:pPr>
      <w:r>
        <w:t>Source: Sui Generis CP - Michigan 7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