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Protection through conventional IP does </w:t>
      </w:r>
      <w:r>
        <w:rPr>
          <w:b/>
          <w:i w:val="0"/>
          <w:smallCaps w:val="0"/>
          <w:strike w:val="0"/>
          <w:sz w:val="26"/>
          <w:u w:val="single"/>
        </w:rPr>
        <w:t>not</w:t>
      </w:r>
      <w:r>
        <w:rPr>
          <w:b/>
          <w:i w:val="0"/>
          <w:smallCaps w:val="0"/>
          <w:strike w:val="0"/>
          <w:sz w:val="26"/>
          <w:u w:val="none"/>
        </w:rPr>
        <w:t xml:space="preserve"> work---determines majority of traditional knowledge to be ineligible and is too expensive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Kuruk 07 </w:t>
      </w:r>
      <w:r>
        <w:rPr>
          <w:b w:val="0"/>
          <w:i w:val="0"/>
          <w:smallCaps w:val="0"/>
          <w:strike w:val="0"/>
          <w:u w:val="none"/>
        </w:rPr>
        <w:t>[Paul Kuruk holds LL.B. (Hons.), University of Ghana, Legon, Ghana; LL.M., Temple University School of Law, Philadelphia, Pennsylvania; J.S.D., Stanford Law School, Stanford, California; Professor of Law, Cumberland School of Law of Samford University, Birmingham, Alabama; past Vice Chair, Commission on Environmental Law of the World Conservation Union, Gland, Switzerland</w:t>
      </w:r>
      <w:r>
        <w:rPr>
          <w:b w:val="0"/>
          <w:i w:val="0"/>
          <w:smallCaps w:val="0"/>
          <w:strike w:val="0"/>
          <w:u w:val="none"/>
        </w:rPr>
        <w:t xml:space="preserve">, 2007, “The Role of Customary Law Under Sui Generis Frameworks of Intellectual Property Rights in Traditional and Indigenous Knowledge”, </w:t>
      </w:r>
      <w:r>
        <w:rPr>
          <w:b w:val="0"/>
          <w:i w:val="0"/>
          <w:smallCaps w:val="0"/>
          <w:strike w:val="0"/>
          <w:u w:val="none"/>
        </w:rPr>
        <w:t>, accessed 7/5/24]</w:t>
      </w:r>
      <w:r>
        <w:rPr>
          <w:b w:val="0"/>
          <w:i w:val="0"/>
          <w:smallCaps w:val="0"/>
          <w:strike w:val="0"/>
          <w:u w:val="none"/>
        </w:rPr>
        <w:t>staghi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 xml:space="preserve">WIPO has given serious consideration to the possible protection of indigenous knowledge through various forms of intellectual property rights (IPRs), including copyright, patents, plant varieties, industrial designs, and trademarks. [19] As a practical matter, however, it may </w:t>
      </w:r>
      <w:r>
        <w:rPr>
          <w:b w:val="0"/>
          <w:i w:val="0"/>
          <w:smallCaps w:val="0"/>
          <w:strike w:val="0"/>
          <w:sz w:val="22"/>
          <w:u w:val="single"/>
        </w:rPr>
        <w:t>be difficult to protect [*72] traditional knowledge through IPRs due to problems fitting traditional knowledge into “certain accepted notions of intellectual property relating to ownership, originality, duration, fixation, inventiveness and uniqueness,”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[20] among others. For example, it has been argued that </w:t>
      </w:r>
      <w:r>
        <w:rPr>
          <w:b w:val="0"/>
          <w:i w:val="0"/>
          <w:smallCaps w:val="0"/>
          <w:strike w:val="0"/>
          <w:sz w:val="22"/>
          <w:u w:val="single"/>
        </w:rPr>
        <w:t>IPRs are unsuitable for indigenous knowledge because they focus on individual rather than group rights, [21] they offer protection for fixed periods of time unlike the indeterminate periods applicable to indigenous knowledge, [22] and the requirement of a writing for protected works virtually excludes much of the indigenous knowledge that is transmitted orally though generations in traditional societies.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[23] Additionally, IPRs are </w:t>
      </w:r>
      <w:r>
        <w:rPr>
          <w:b w:val="0"/>
          <w:i w:val="0"/>
          <w:smallCaps w:val="0"/>
          <w:strike w:val="0"/>
          <w:sz w:val="22"/>
          <w:u w:val="single"/>
        </w:rPr>
        <w:t>expensive to obtain and the costs of enforcement high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[24] Long and costly administrative and judicial procedures </w:t>
      </w:r>
      <w:r>
        <w:rPr>
          <w:b w:val="0"/>
          <w:i w:val="0"/>
          <w:smallCaps w:val="0"/>
          <w:strike w:val="0"/>
          <w:sz w:val="22"/>
          <w:u w:val="single"/>
        </w:rPr>
        <w:t>would render the IPR option unattractive for many indigenous people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Given this perceived incompatibility between IPRs and traditional knowledge, the </w:t>
      </w:r>
      <w:r>
        <w:rPr>
          <w:b w:val="0"/>
          <w:i w:val="0"/>
          <w:smallCaps w:val="0"/>
          <w:strike w:val="0"/>
          <w:sz w:val="22"/>
          <w:u w:val="single"/>
        </w:rPr>
        <w:t>case has been made for the development of a sui generis regime specifically adapted to the nature and characteristics of indigenous knowledge</w:t>
      </w:r>
      <w:r>
        <w:rPr>
          <w:b w:val="0"/>
          <w:i w:val="0"/>
          <w:smallCaps w:val="0"/>
          <w:strike w:val="0"/>
          <w:sz w:val="14"/>
          <w:u w:val="none"/>
        </w:rPr>
        <w:t>. [25] the argument for adopting a separate instrument for traditional knowledge is based on the recognition that traditional knowledge is created, owned, and utilized differently. [26] Unlike intellectual property law, traditional knowledge is designed not to confer economic benefits to individual creators but is intended for common exploitation. [27] “</w:t>
      </w:r>
      <w:r>
        <w:rPr>
          <w:b/>
          <w:i w:val="0"/>
          <w:smallCaps w:val="0"/>
          <w:strike w:val="0"/>
          <w:sz w:val="22"/>
          <w:u w:val="single"/>
        </w:rPr>
        <w:t>Consequently, it does not make sense to try and fit [it] within the rigidities of national intellectual property law.”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[28]</w:t>
      </w:r>
    </w:p>
    <w:p>
      <w:pPr>
        <w:pStyle w:val="Caption"/>
      </w:pPr>
      <w:r>
        <w:t>Source: Sui Generis CP - Michigan 7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