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, pg. Lexis, ALB</w:t>
      </w:r>
      <w:r>
        <w:rPr>
          <w:b/>
          <w:i w:val="0"/>
          <w:smallCaps w:val="0"/>
          <w:strike w:val="0"/>
          <w:sz w:val="26"/>
          <w:u w:val="none"/>
        </w:rPr>
        <w:t>]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>5.18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Utility models are registered industrial property rights which confer on proprietor’s exclusive protection of their technical inventions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particularly those with a limited degree of inventiveness or a relatively short period of exploitation. </w:t>
      </w:r>
      <w:r>
        <w:rPr>
          <w:b w:val="0"/>
          <w:i w:val="0"/>
          <w:smallCaps w:val="0"/>
          <w:strike w:val="0"/>
          <w:sz w:val="22"/>
          <w:u w:val="single"/>
        </w:rPr>
        <w:t>They offer more flexible and less burdensome protection than that offered by patents</w:t>
      </w:r>
      <w:r>
        <w:rPr>
          <w:b w:val="0"/>
          <w:i w:val="0"/>
          <w:smallCaps w:val="0"/>
          <w:strike w:val="0"/>
          <w:sz w:val="16"/>
          <w:u w:val="none"/>
        </w:rPr>
        <w:t>. Utility models are therefore an effective tool well-suited to enterprises—particularly SMEs—which are active in certain fields of innovation.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5.19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 planned system would have had the following features: the field of application would cover products as well as processes but would exclude biological material and chemical or pharmaceutical products and processes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owing to the special features of these sectors</w:t>
      </w:r>
      <w:r>
        <w:rPr>
          <w:b w:val="0"/>
          <w:i w:val="0"/>
          <w:smallCaps w:val="0"/>
          <w:strike w:val="0"/>
          <w:sz w:val="16"/>
          <w:u w:val="none"/>
        </w:rPr>
        <w:t>. As in the case of patents, inventions which could be protected by utility model would have to be new, involve an inventive activity, and be capable of industrial application.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5.20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However, </w:t>
      </w:r>
      <w:r>
        <w:rPr>
          <w:b w:val="0"/>
          <w:i w:val="0"/>
          <w:smallCaps w:val="0"/>
          <w:strike w:val="0"/>
          <w:sz w:val="22"/>
          <w:u w:val="single"/>
        </w:rPr>
        <w:t>the level of inventiveness required would be lower than that for patents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Inventions would be considered as involving inventive activity if they represented an advantage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and, from the point of view of the skilled person in the relevant technical fields, </w:t>
      </w:r>
      <w:r>
        <w:rPr>
          <w:b w:val="0"/>
          <w:i w:val="0"/>
          <w:smallCaps w:val="0"/>
          <w:strike w:val="0"/>
          <w:sz w:val="22"/>
          <w:u w:val="single"/>
        </w:rPr>
        <w:t>were not derived in a ‘</w:t>
      </w:r>
      <w:r>
        <w:rPr>
          <w:b w:val="0"/>
          <w:i w:val="0"/>
          <w:smallCaps w:val="0"/>
          <w:strike w:val="0"/>
          <w:sz w:val="22"/>
          <w:u w:val="single"/>
        </w:rPr>
        <w:t>very obvious</w:t>
      </w:r>
      <w:r>
        <w:rPr>
          <w:b w:val="0"/>
          <w:i w:val="0"/>
          <w:smallCaps w:val="0"/>
          <w:strike w:val="0"/>
          <w:sz w:val="22"/>
          <w:u w:val="single"/>
        </w:rPr>
        <w:t>’ way from the state of the art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The definition of inventive activity was a key element in the proposed directive, as it enables the utility model to be distinguished from the patent.</w:t>
      </w:r>
      <w:r>
        <w:rPr>
          <w:b w:val="0"/>
          <w:i w:val="0"/>
          <w:smallCaps w:val="0"/>
          <w:strike w:val="0"/>
          <w:sz w:val="16"/>
          <w:u w:val="none"/>
        </w:rPr>
        <w:t>31</w:t>
      </w:r>
    </w:p>
    <w:p>
      <w:pPr>
        <w:pStyle w:val="Caption"/>
      </w:pPr>
      <w:r>
        <w:t>Source: Sui Generis CP - Michigan 7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