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There are few studies that prove Sui Generis is effective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Kazeeva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‘ 24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[Iana; February 10; Candidate of Science Degree in International Finance Law, Postdoctoral Researcher at the Department of Innovation and Digitalization of Law; Sui Generis Intellectual Property Protection; “Sui Generis Intellectual Property Protection for Works Generated by AI Systems”; </w:t>
      </w:r>
      <w:r>
        <w:rPr>
          <w:b w:val="0"/>
          <w:i w:val="0"/>
          <w:smallCaps w:val="0"/>
          <w:strike w:val="0"/>
          <w:u w:val="none"/>
        </w:rPr>
        <w:t>p.viii</w:t>
      </w:r>
      <w:r>
        <w:rPr>
          <w:b w:val="0"/>
          <w:i w:val="0"/>
          <w:smallCaps w:val="0"/>
          <w:strike w:val="0"/>
          <w:u w:val="none"/>
        </w:rPr>
        <w:t xml:space="preserve"> //ST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However,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there has been little comparative study of sui generis</w:t>
      </w:r>
      <w:r>
        <w:rPr>
          <w:b w:val="0"/>
          <w:i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intellectual property protection that would evaluate the effectiveness of sui generis</w:t>
      </w:r>
      <w:r>
        <w:rPr>
          <w:b w:val="0"/>
          <w:i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regimes and estimate whether the goals pursued by the legislators introducing sui generis</w:t>
      </w:r>
      <w:r>
        <w:rPr>
          <w:b w:val="0"/>
          <w:i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regimes for different kinds of subject matter have been achieved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>Thus, this book is aimed at filling this gap and contributing to a better understanding of sui generis</w:t>
      </w:r>
      <w:r>
        <w:rPr>
          <w:b w:val="0"/>
          <w:i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intellectual property rights.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