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, pg. Lexis, ALB</w:t>
      </w:r>
      <w:r>
        <w:rPr>
          <w:b/>
          <w:i w:val="0"/>
          <w:smallCaps w:val="0"/>
          <w:strike w:val="0"/>
          <w:sz w:val="26"/>
          <w:u w:val="none"/>
        </w:rPr>
        <w:t>]</w:t>
      </w:r>
    </w:p>
    <w:p>
      <w:pPr>
        <w:spacing w:after="80"/>
      </w:pPr>
      <w:r>
        <w:rPr>
          <w:b w:val="0"/>
          <w:i w:val="0"/>
          <w:smallCaps w:val="0"/>
          <w:strike w:val="0"/>
          <w:sz w:val="16"/>
          <w:u w:val="none"/>
        </w:rPr>
        <w:t>5.29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Many utility model systems offer the opportunity to divide applications out of pending patent applications and thus in effect to accelerate the grant of an intellectual property right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German 1986 Act on </w:t>
      </w:r>
      <w:r>
        <w:rPr>
          <w:b w:val="0"/>
          <w:i w:val="0"/>
          <w:smallCaps w:val="0"/>
          <w:strike w:val="0"/>
          <w:sz w:val="22"/>
          <w:u w:val="single"/>
        </w:rPr>
        <w:t>Utility Models introduced the opportunity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to base an application for a utility model on a pending patent application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5.30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Not only does this ‘branching’ or ‘division’ provide a way around the long pendency of the patent application, but it also allows any claims in the utility model to be tailored to a known infringing article. Thus, </w:t>
      </w:r>
      <w:r>
        <w:rPr>
          <w:b/>
          <w:i w:val="0"/>
          <w:smallCaps w:val="0"/>
          <w:strike w:val="0"/>
          <w:sz w:val="22"/>
          <w:u w:val="single"/>
        </w:rPr>
        <w:t>the applicant can continue to pursue patent protection for broader concepts while filing for narrow protection relevant to the infringing article as a utility model—a significant advantage for a smaller company prepared to litigate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The narrowly drafted claims can better sustain an attack on the novelty and inventive step of the utility model and litigation is more efficient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Even if the copycat changes its product to avoid the narrowly drafted claims, then </w:t>
      </w:r>
      <w:r>
        <w:rPr>
          <w:b w:val="0"/>
          <w:i w:val="0"/>
          <w:smallCaps w:val="0"/>
          <w:strike w:val="0"/>
          <w:sz w:val="22"/>
          <w:u w:val="single"/>
        </w:rPr>
        <w:t>a new utility model can be filed to reflect the attempted work-around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Sui Generis CP - Michigan 7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