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Delegation must be specific.</w:t>
      </w:r>
    </w:p>
    <w:p>
      <w:pPr>
        <w:spacing w:after="80"/>
      </w:pPr>
      <w:r>
        <w:rPr>
          <w:b/>
          <w:i w:val="0"/>
          <w:smallCaps w:val="0"/>
          <w:strike w:val="0"/>
          <w:sz w:val="26"/>
          <w:u w:val="none"/>
        </w:rPr>
        <w:t>Leopold 4/4</w:t>
      </w:r>
      <w:r>
        <w:rPr>
          <w:b w:val="0"/>
          <w:i w:val="0"/>
          <w:smallCaps w:val="0"/>
          <w:strike w:val="0"/>
          <w:u w:val="none"/>
        </w:rPr>
        <w:t xml:space="preserve"> Matthew Z. Leopold, Matthew Z. Leopold is a partner in the Washington, D.C., office of Hunton Andrews Kurth. Leopold was confirmed by the U.S. Senate as General Counsel of the U.S. Environmental Protection Agency and served from 2018–2020. Previously, Leopold served as a career attorney at the U.S. Department of Justice, Environment and Natural Resources Division and the General Counsel of the Florida Department of Environmental Protection, April 4</w:t>
      </w:r>
      <w:r>
        <w:rPr>
          <w:b w:val="0"/>
          <w:i w:val="0"/>
          <w:smallCaps w:val="0"/>
          <w:strike w:val="0"/>
          <w:u w:val="none"/>
        </w:rPr>
        <w:t>th</w:t>
      </w:r>
      <w:r>
        <w:rPr>
          <w:b w:val="0"/>
          <w:i w:val="0"/>
          <w:smallCaps w:val="0"/>
          <w:strike w:val="0"/>
          <w:u w:val="none"/>
        </w:rPr>
        <w:t xml:space="preserve">, 2023, “The Burden on Agencies to Confirm Congressionally Delegated Authority in the Wake of West Virginia v. Environmental Protection Agency”, ABA, </w:t>
      </w:r>
      <w:r>
        <w:rPr>
          <w:b w:val="0"/>
          <w:i w:val="0"/>
          <w:smallCaps w:val="0"/>
          <w:strike w:val="0"/>
          <w:u w:val="none"/>
        </w:rPr>
        <w:t xml:space="preserve">, </w:t>
      </w:r>
      <w:r>
        <w:rPr>
          <w:b w:val="0"/>
          <w:i w:val="0"/>
          <w:smallCaps w:val="0"/>
          <w:strike w:val="0"/>
          <w:u w:val="none"/>
        </w:rPr>
        <w:t>liam</w:t>
      </w:r>
      <w:r>
        <w:rPr>
          <w:b w:val="0"/>
          <w:i w:val="0"/>
          <w:smallCaps w:val="0"/>
          <w:strike w:val="0"/>
          <w:u w:val="none"/>
        </w:rPr>
        <w:t>.</w:t>
      </w:r>
    </w:p>
    <w:p>
      <w:pPr>
        <w:spacing w:after="60"/>
      </w:pPr>
      <w:r>
        <w:rPr>
          <w:b w:val="0"/>
          <w:i w:val="0"/>
          <w:smallCaps w:val="0"/>
          <w:strike w:val="0"/>
          <w:u w:val="single"/>
        </w:rPr>
        <w:t xml:space="preserve">Because </w:t>
      </w:r>
      <w:r>
        <w:rPr>
          <w:b w:val="0"/>
          <w:i w:val="0"/>
          <w:smallCaps w:val="0"/>
          <w:strike w:val="0"/>
          <w:highlight w:val="cyan"/>
          <w:u w:val="single"/>
        </w:rPr>
        <w:t>agencies</w:t>
      </w:r>
      <w:r>
        <w:rPr>
          <w:b w:val="0"/>
          <w:i w:val="0"/>
          <w:smallCaps w:val="0"/>
          <w:strike w:val="0"/>
          <w:u w:val="single"/>
        </w:rPr>
        <w:t xml:space="preserve"> have no inherent authority</w:t>
      </w:r>
      <w:r>
        <w:rPr>
          <w:b w:val="0"/>
          <w:i w:val="0"/>
          <w:smallCaps w:val="0"/>
          <w:strike w:val="0"/>
          <w:sz w:val="16"/>
          <w:u w:val="none"/>
        </w:rPr>
        <w:t xml:space="preserve"> to establish laws in the form of regulations, </w:t>
      </w:r>
      <w:r>
        <w:rPr>
          <w:b/>
          <w:i w:val="0"/>
          <w:smallCaps w:val="0"/>
          <w:strike w:val="0"/>
          <w:sz w:val="22"/>
          <w:u w:val="single"/>
        </w:rPr>
        <w:t xml:space="preserve">they </w:t>
      </w:r>
      <w:r>
        <w:rPr>
          <w:b/>
          <w:i w:val="0"/>
          <w:smallCaps w:val="0"/>
          <w:strike w:val="0"/>
          <w:sz w:val="22"/>
          <w:highlight w:val="cyan"/>
          <w:u w:val="single"/>
        </w:rPr>
        <w:t>need a specific delegation from Congress</w:t>
      </w:r>
      <w:r>
        <w:rPr>
          <w:b w:val="0"/>
          <w:i w:val="0"/>
          <w:smallCaps w:val="0"/>
          <w:strike w:val="0"/>
          <w:sz w:val="16"/>
          <w:u w:val="none"/>
        </w:rPr>
        <w:t xml:space="preserve">, which exercises legislative power under the Constitution. </w:t>
      </w:r>
      <w:r>
        <w:rPr>
          <w:b w:val="0"/>
          <w:i w:val="0"/>
          <w:smallCaps w:val="0"/>
          <w:strike w:val="0"/>
          <w:u w:val="single"/>
        </w:rPr>
        <w:t>While Congress may delegate</w:t>
      </w:r>
      <w:r>
        <w:rPr>
          <w:b w:val="0"/>
          <w:i w:val="0"/>
          <w:smallCaps w:val="0"/>
          <w:strike w:val="0"/>
          <w:sz w:val="16"/>
          <w:u w:val="none"/>
        </w:rPr>
        <w:t xml:space="preserve"> its </w:t>
      </w:r>
      <w:r>
        <w:rPr>
          <w:b w:val="0"/>
          <w:i w:val="0"/>
          <w:smallCaps w:val="0"/>
          <w:strike w:val="0"/>
          <w:u w:val="single"/>
        </w:rPr>
        <w:t>authority</w:t>
      </w:r>
      <w:r>
        <w:rPr>
          <w:b w:val="0"/>
          <w:i w:val="0"/>
          <w:smallCaps w:val="0"/>
          <w:strike w:val="0"/>
          <w:sz w:val="16"/>
          <w:u w:val="none"/>
        </w:rPr>
        <w:t xml:space="preserve"> to administrative agencies, Supreme Court </w:t>
      </w:r>
      <w:r>
        <w:rPr>
          <w:b/>
          <w:i w:val="0"/>
          <w:smallCaps w:val="0"/>
          <w:strike w:val="0"/>
          <w:sz w:val="22"/>
          <w:highlight w:val="cyan"/>
          <w:u w:val="single"/>
        </w:rPr>
        <w:t>precedent</w:t>
      </w:r>
      <w:r>
        <w:rPr>
          <w:b/>
          <w:i w:val="0"/>
          <w:smallCaps w:val="0"/>
          <w:strike w:val="0"/>
          <w:sz w:val="22"/>
          <w:u w:val="single"/>
        </w:rPr>
        <w:t xml:space="preserve"> has </w:t>
      </w:r>
      <w:r>
        <w:rPr>
          <w:b/>
          <w:i w:val="0"/>
          <w:smallCaps w:val="0"/>
          <w:strike w:val="0"/>
          <w:sz w:val="22"/>
          <w:highlight w:val="cyan"/>
          <w:u w:val="single"/>
        </w:rPr>
        <w:t>required</w:t>
      </w:r>
      <w:r>
        <w:rPr>
          <w:b/>
          <w:i w:val="0"/>
          <w:smallCaps w:val="0"/>
          <w:strike w:val="0"/>
          <w:sz w:val="22"/>
          <w:u w:val="single"/>
        </w:rPr>
        <w:t xml:space="preserve"> that </w:t>
      </w:r>
      <w:r>
        <w:rPr>
          <w:b/>
          <w:i w:val="0"/>
          <w:smallCaps w:val="0"/>
          <w:strike w:val="0"/>
          <w:sz w:val="22"/>
          <w:highlight w:val="cyan"/>
          <w:u w:val="single"/>
        </w:rPr>
        <w:t>Congress provide “intelligible principles” in</w:t>
      </w:r>
      <w:r>
        <w:rPr>
          <w:b/>
          <w:i w:val="0"/>
          <w:smallCaps w:val="0"/>
          <w:strike w:val="0"/>
          <w:sz w:val="22"/>
          <w:u w:val="single"/>
        </w:rPr>
        <w:t xml:space="preserve"> the statutory </w:t>
      </w:r>
      <w:r>
        <w:rPr>
          <w:b/>
          <w:i w:val="0"/>
          <w:smallCaps w:val="0"/>
          <w:strike w:val="0"/>
          <w:sz w:val="22"/>
          <w:highlight w:val="cyan"/>
          <w:u w:val="single"/>
        </w:rPr>
        <w:t>delegation</w:t>
      </w:r>
      <w:r>
        <w:rPr>
          <w:b w:val="0"/>
          <w:i w:val="0"/>
          <w:smallCaps w:val="0"/>
          <w:strike w:val="0"/>
          <w:sz w:val="16"/>
          <w:u w:val="none"/>
        </w:rPr>
        <w:t xml:space="preserve"> because it reflects a shift in constitutional authority from the legislative branch to the executive branch. In other words, the </w:t>
      </w:r>
      <w:r>
        <w:rPr>
          <w:b w:val="0"/>
          <w:i w:val="0"/>
          <w:smallCaps w:val="0"/>
          <w:strike w:val="0"/>
          <w:u w:val="single"/>
        </w:rPr>
        <w:t>“non-delegation doctrine” requires a congressional delegation to be limited and not open-ended</w:t>
      </w:r>
      <w:r>
        <w:rPr>
          <w:b w:val="0"/>
          <w:i w:val="0"/>
          <w:smallCaps w:val="0"/>
          <w:strike w:val="0"/>
          <w:sz w:val="16"/>
          <w:u w:val="none"/>
        </w:rPr>
        <w:t xml:space="preserve"> to preserve the separation of powers. Thus, </w:t>
      </w:r>
      <w:r>
        <w:rPr>
          <w:b/>
          <w:i w:val="0"/>
          <w:smallCaps w:val="0"/>
          <w:strike w:val="0"/>
          <w:sz w:val="22"/>
          <w:highlight w:val="cyan"/>
          <w:u w:val="single"/>
        </w:rPr>
        <w:t>Congress is prohibited from granting broad</w:t>
      </w:r>
      <w:r>
        <w:rPr>
          <w:b/>
          <w:i w:val="0"/>
          <w:smallCaps w:val="0"/>
          <w:strike w:val="0"/>
          <w:sz w:val="22"/>
          <w:u w:val="single"/>
        </w:rPr>
        <w:t xml:space="preserve">, general rulemaking </w:t>
      </w:r>
      <w:r>
        <w:rPr>
          <w:b/>
          <w:i w:val="0"/>
          <w:smallCaps w:val="0"/>
          <w:strike w:val="0"/>
          <w:sz w:val="22"/>
          <w:highlight w:val="cyan"/>
          <w:u w:val="single"/>
        </w:rPr>
        <w:t>authority</w:t>
      </w:r>
      <w:r>
        <w:rPr>
          <w:b w:val="0"/>
          <w:i w:val="0"/>
          <w:smallCaps w:val="0"/>
          <w:strike w:val="0"/>
          <w:sz w:val="16"/>
          <w:u w:val="none"/>
        </w:rPr>
        <w:t xml:space="preserve">, and agencies should issue rules consistent with </w:t>
      </w:r>
      <w:r>
        <w:rPr>
          <w:b w:val="0"/>
          <w:i w:val="0"/>
          <w:smallCaps w:val="0"/>
          <w:strike w:val="0"/>
          <w:sz w:val="16"/>
          <w:u w:val="none"/>
        </w:rPr>
        <w:t>a particular, limited</w:t>
      </w:r>
      <w:r>
        <w:rPr>
          <w:b w:val="0"/>
          <w:i w:val="0"/>
          <w:smallCaps w:val="0"/>
          <w:strike w:val="0"/>
          <w:sz w:val="16"/>
          <w:u w:val="none"/>
        </w:rPr>
        <w:t xml:space="preserve"> congressional grant of authority. </w:t>
      </w:r>
      <w:r>
        <w:rPr>
          <w:b w:val="0"/>
          <w:i w:val="0"/>
          <w:smallCaps w:val="0"/>
          <w:strike w:val="0"/>
          <w:u w:val="single"/>
        </w:rPr>
        <w:t xml:space="preserve">The </w:t>
      </w:r>
      <w:r>
        <w:rPr>
          <w:b w:val="0"/>
          <w:i w:val="0"/>
          <w:smallCaps w:val="0"/>
          <w:strike w:val="0"/>
          <w:highlight w:val="cyan"/>
          <w:u w:val="single"/>
        </w:rPr>
        <w:t>Court</w:t>
      </w:r>
      <w:r>
        <w:rPr>
          <w:b w:val="0"/>
          <w:i w:val="0"/>
          <w:smallCaps w:val="0"/>
          <w:strike w:val="0"/>
          <w:u w:val="single"/>
        </w:rPr>
        <w:t xml:space="preserve"> in West Virginia</w:t>
      </w:r>
      <w:r>
        <w:rPr>
          <w:b w:val="0"/>
          <w:i w:val="0"/>
          <w:smallCaps w:val="0"/>
          <w:strike w:val="0"/>
          <w:sz w:val="16"/>
          <w:u w:val="none"/>
        </w:rPr>
        <w:t xml:space="preserve"> grounds the major questions doctrine in the separation of powers, </w:t>
      </w:r>
      <w:r>
        <w:rPr>
          <w:b/>
          <w:i w:val="0"/>
          <w:smallCaps w:val="0"/>
          <w:strike w:val="0"/>
          <w:sz w:val="22"/>
          <w:highlight w:val="cyan"/>
          <w:u w:val="single"/>
        </w:rPr>
        <w:t>holding that</w:t>
      </w:r>
      <w:r>
        <w:rPr>
          <w:b/>
          <w:i w:val="0"/>
          <w:smallCaps w:val="0"/>
          <w:strike w:val="0"/>
          <w:sz w:val="22"/>
          <w:u w:val="single"/>
        </w:rPr>
        <w:t xml:space="preserve"> the congressional </w:t>
      </w:r>
      <w:r>
        <w:rPr>
          <w:b/>
          <w:i w:val="0"/>
          <w:smallCaps w:val="0"/>
          <w:strike w:val="0"/>
          <w:sz w:val="22"/>
          <w:highlight w:val="cyan"/>
          <w:u w:val="single"/>
        </w:rPr>
        <w:t>delegation</w:t>
      </w:r>
      <w:r>
        <w:rPr>
          <w:b/>
          <w:i w:val="0"/>
          <w:smallCaps w:val="0"/>
          <w:strike w:val="0"/>
          <w:sz w:val="22"/>
          <w:u w:val="single"/>
        </w:rPr>
        <w:t xml:space="preserve"> for agency rulemaking authority </w:t>
      </w:r>
      <w:r>
        <w:rPr>
          <w:b/>
          <w:i w:val="0"/>
          <w:smallCaps w:val="0"/>
          <w:strike w:val="0"/>
          <w:sz w:val="22"/>
          <w:highlight w:val="cyan"/>
          <w:u w:val="single"/>
        </w:rPr>
        <w:t>should be very clear</w:t>
      </w:r>
      <w:r>
        <w:rPr>
          <w:b/>
          <w:i w:val="0"/>
          <w:smallCaps w:val="0"/>
          <w:strike w:val="0"/>
          <w:sz w:val="22"/>
          <w:u w:val="single"/>
        </w:rPr>
        <w:t xml:space="preserve">, </w:t>
      </w:r>
      <w:r>
        <w:rPr>
          <w:b/>
          <w:i w:val="0"/>
          <w:smallCaps w:val="0"/>
          <w:strike w:val="0"/>
          <w:sz w:val="22"/>
          <w:highlight w:val="cyan"/>
          <w:u w:val="single"/>
        </w:rPr>
        <w:t>specific</w:t>
      </w:r>
      <w:r>
        <w:rPr>
          <w:b/>
          <w:i w:val="0"/>
          <w:smallCaps w:val="0"/>
          <w:strike w:val="0"/>
          <w:sz w:val="22"/>
          <w:u w:val="single"/>
        </w:rPr>
        <w:t xml:space="preserve">, </w:t>
      </w:r>
      <w:r>
        <w:rPr>
          <w:b/>
          <w:i w:val="0"/>
          <w:smallCaps w:val="0"/>
          <w:strike w:val="0"/>
          <w:sz w:val="22"/>
          <w:highlight w:val="cyan"/>
          <w:u w:val="single"/>
        </w:rPr>
        <w:t>and not left to</w:t>
      </w:r>
      <w:r>
        <w:rPr>
          <w:b/>
          <w:i w:val="0"/>
          <w:smallCaps w:val="0"/>
          <w:strike w:val="0"/>
          <w:sz w:val="22"/>
          <w:u w:val="single"/>
        </w:rPr>
        <w:t xml:space="preserve"> the agencies to </w:t>
      </w:r>
      <w:r>
        <w:rPr>
          <w:b/>
          <w:i w:val="0"/>
          <w:smallCaps w:val="0"/>
          <w:strike w:val="0"/>
          <w:sz w:val="22"/>
          <w:highlight w:val="cyan"/>
          <w:u w:val="single"/>
        </w:rPr>
        <w:t>interpret</w:t>
      </w:r>
      <w:r>
        <w:rPr>
          <w:b/>
          <w:i w:val="0"/>
          <w:smallCaps w:val="0"/>
          <w:strike w:val="0"/>
          <w:sz w:val="22"/>
          <w:u w:val="single"/>
        </w:rPr>
        <w:t xml:space="preserve"> in matters with extraordinary economic and political significance</w:t>
      </w:r>
      <w:r>
        <w:rPr>
          <w:b w:val="0"/>
          <w:i w:val="0"/>
          <w:smallCaps w:val="0"/>
          <w:strike w:val="0"/>
          <w:sz w:val="16"/>
          <w:u w:val="none"/>
        </w:rPr>
        <w:t>. Therefore, the decision’s second burden shift is to Congress, by requiring more legislative rigor when Congress wishes to give an agency the power to decide “major questions.”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