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WIPO sets international standards </w:t>
      </w:r>
      <w:r>
        <w:rPr>
          <w:b/>
          <w:i w:val="0"/>
          <w:smallCaps w:val="0"/>
          <w:strike w:val="0"/>
          <w:sz w:val="26"/>
          <w:u w:val="none"/>
        </w:rPr>
        <w:t>in regards to</w:t>
      </w:r>
      <w:r>
        <w:rPr>
          <w:b/>
          <w:i w:val="0"/>
          <w:smallCaps w:val="0"/>
          <w:strike w:val="0"/>
          <w:sz w:val="26"/>
          <w:u w:val="none"/>
        </w:rPr>
        <w:t xml:space="preserve"> IP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Kaiser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8</w:t>
      </w:r>
      <w:r>
        <w:rPr>
          <w:b w:val="0"/>
          <w:i w:val="0"/>
          <w:smallCaps w:val="0"/>
          <w:strike w:val="0"/>
          <w:u w:val="none"/>
        </w:rPr>
        <w:t xml:space="preserve"> Research Fellow, Federal Constitutional Court, Karlsruhe; co-editor of the German Law Journal (2008, Karen Kaiser “WIPO's International Registration of Trademarks: An International Administrative Act Subject to Examination by the Designated Contracting Parties,” German Law Journal, </w:t>
      </w:r>
      <w:r>
        <w:rPr>
          <w:b w:val="0"/>
          <w:i w:val="0"/>
          <w:smallCaps w:val="0"/>
          <w:strike w:val="0"/>
          <w:u w:val="none"/>
        </w:rPr>
        <w:t>)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Although the World Intellectual Property Organization (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WIPO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)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technical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intergovernmental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>org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anization with a limited mandate, it has been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entrusted with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panoply of tasks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These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include, inter alia,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international harmonization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roperty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law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administration of fee-based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global intellectual property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services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the delivery of dispute resolution services to individuals. While the central role of WIPO in the continuous development of substantive intellectual property law has been questioned by developing countries,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admin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istrative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activities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WIPO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have remained 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>largely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unscathed by critique and, therefore, have not attracted much attention. They 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>revo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lve around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international filing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registration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recognition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industrial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property rights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such as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industrial designs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trademarks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provide an interesting </w:t>
      </w:r>
      <w:r>
        <w:rPr>
          <w:b w:val="0"/>
          <w:i w:val="0"/>
          <w:smallCaps w:val="0"/>
          <w:strike w:val="0"/>
          <w:sz w:val="22"/>
          <w:u w:val="single"/>
        </w:rPr>
        <w:t>perspective on the law of international institutions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Consult WIPO CP - Michigan 7 2024 CGO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