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WIPO would agree – their system already allows for international Trademark protections</w:t>
      </w:r>
    </w:p>
    <w:p>
      <w:pPr>
        <w:spacing w:after="80"/>
      </w:pPr>
      <w:r>
        <w:rPr>
          <w:b/>
          <w:i w:val="0"/>
          <w:smallCaps w:val="0"/>
          <w:strike w:val="0"/>
          <w:sz w:val="26"/>
          <w:u w:val="none"/>
        </w:rPr>
        <w:t xml:space="preserve">CITMA 20 </w:t>
      </w:r>
      <w:r>
        <w:rPr>
          <w:b w:val="0"/>
          <w:i w:val="0"/>
          <w:smallCaps w:val="0"/>
          <w:strike w:val="0"/>
          <w:u w:val="none"/>
        </w:rPr>
        <w:t xml:space="preserve">a professional membership </w:t>
      </w:r>
      <w:r>
        <w:rPr>
          <w:b w:val="0"/>
          <w:i w:val="0"/>
          <w:smallCaps w:val="0"/>
          <w:strike w:val="0"/>
          <w:u w:val="none"/>
        </w:rPr>
        <w:t>organisation</w:t>
      </w:r>
      <w:r>
        <w:rPr>
          <w:b w:val="0"/>
          <w:i w:val="0"/>
          <w:smallCaps w:val="0"/>
          <w:strike w:val="0"/>
          <w:u w:val="none"/>
        </w:rPr>
        <w:t xml:space="preserve"> with the power to shape law and practice – nationally and internationally (09-14-2020, “International trade marks via WIPO,” CITMA, </w:t>
      </w:r>
      <w:r>
        <w:rPr>
          <w:b w:val="0"/>
          <w:i w:val="0"/>
          <w:smallCaps w:val="0"/>
          <w:strike w:val="0"/>
          <w:u w:val="none"/>
        </w:rPr>
        <w:t>)</w:t>
      </w:r>
    </w:p>
    <w:p>
      <w:pPr>
        <w:spacing w:after="60"/>
      </w:pPr>
      <w:r>
        <w:rPr>
          <w:b w:val="0"/>
          <w:i w:val="0"/>
          <w:smallCaps w:val="0"/>
          <w:strike w:val="0"/>
          <w:sz w:val="22"/>
          <w:u w:val="single"/>
        </w:rPr>
        <w:t xml:space="preserve">You can </w:t>
      </w:r>
      <w:r>
        <w:rPr>
          <w:b w:val="0"/>
          <w:i w:val="0"/>
          <w:smallCaps w:val="0"/>
          <w:strike w:val="0"/>
          <w:sz w:val="22"/>
          <w:highlight w:val="cyan"/>
          <w:u w:val="single"/>
        </w:rPr>
        <w:t xml:space="preserve">file </w:t>
      </w:r>
      <w:r>
        <w:rPr>
          <w:b/>
          <w:i w:val="0"/>
          <w:smallCaps w:val="0"/>
          <w:strike w:val="0"/>
          <w:sz w:val="22"/>
          <w:highlight w:val="cyan"/>
          <w:u w:val="single"/>
        </w:rPr>
        <w:t>trade mark</w:t>
      </w:r>
      <w:r>
        <w:rPr>
          <w:b w:val="0"/>
          <w:i w:val="0"/>
          <w:smallCaps w:val="0"/>
          <w:strike w:val="0"/>
          <w:sz w:val="22"/>
          <w:highlight w:val="cyan"/>
          <w:u w:val="single"/>
        </w:rPr>
        <w:t>s</w:t>
      </w:r>
      <w:r>
        <w:rPr>
          <w:b w:val="0"/>
          <w:i w:val="0"/>
          <w:smallCaps w:val="0"/>
          <w:strike w:val="0"/>
          <w:sz w:val="22"/>
          <w:u w:val="single"/>
        </w:rPr>
        <w:t xml:space="preserve"> in </w:t>
      </w:r>
      <w:r>
        <w:rPr>
          <w:b w:val="0"/>
          <w:i w:val="0"/>
          <w:smallCaps w:val="0"/>
          <w:strike w:val="0"/>
          <w:sz w:val="22"/>
          <w:highlight w:val="cyan"/>
          <w:u w:val="single"/>
        </w:rPr>
        <w:t xml:space="preserve">over </w:t>
      </w:r>
      <w:r>
        <w:rPr>
          <w:b/>
          <w:i w:val="0"/>
          <w:smallCaps w:val="0"/>
          <w:strike w:val="0"/>
          <w:sz w:val="22"/>
          <w:highlight w:val="cyan"/>
          <w:u w:val="single"/>
        </w:rPr>
        <w:t>100 countries</w:t>
      </w:r>
      <w:r>
        <w:rPr>
          <w:b w:val="0"/>
          <w:i w:val="0"/>
          <w:smallCaps w:val="0"/>
          <w:strike w:val="0"/>
          <w:sz w:val="22"/>
          <w:highlight w:val="cyan"/>
          <w:u w:val="single"/>
        </w:rPr>
        <w:t xml:space="preserve"> via</w:t>
      </w:r>
      <w:r>
        <w:rPr>
          <w:b w:val="0"/>
          <w:i w:val="0"/>
          <w:smallCaps w:val="0"/>
          <w:strike w:val="0"/>
          <w:sz w:val="16"/>
          <w:u w:val="none"/>
        </w:rPr>
        <w:t xml:space="preserve"> the World Intellectual Property Organization (</w:t>
      </w:r>
      <w:r>
        <w:rPr>
          <w:b/>
          <w:i w:val="0"/>
          <w:smallCaps w:val="0"/>
          <w:strike w:val="0"/>
          <w:sz w:val="22"/>
          <w:highlight w:val="cyan"/>
          <w:u w:val="single"/>
        </w:rPr>
        <w:t>WIPO</w:t>
      </w:r>
      <w:r>
        <w:rPr>
          <w:b w:val="0"/>
          <w:i w:val="0"/>
          <w:smallCaps w:val="0"/>
          <w:strike w:val="0"/>
          <w:sz w:val="22"/>
          <w:u w:val="single"/>
        </w:rPr>
        <w:t xml:space="preserve">) on </w:t>
      </w:r>
      <w:r>
        <w:rPr>
          <w:b w:val="0"/>
          <w:i w:val="0"/>
          <w:smallCaps w:val="0"/>
          <w:strike w:val="0"/>
          <w:sz w:val="22"/>
          <w:highlight w:val="cyan"/>
          <w:u w:val="single"/>
        </w:rPr>
        <w:t>one application</w:t>
      </w:r>
      <w:r>
        <w:rPr>
          <w:b w:val="0"/>
          <w:i w:val="0"/>
          <w:smallCaps w:val="0"/>
          <w:strike w:val="0"/>
          <w:sz w:val="22"/>
          <w:u w:val="single"/>
        </w:rPr>
        <w:t>.</w:t>
      </w:r>
    </w:p>
    <w:p>
      <w:pPr>
        <w:spacing w:after="60"/>
      </w:pPr>
      <w:r>
        <w:rPr>
          <w:b w:val="0"/>
          <w:i w:val="0"/>
          <w:smallCaps w:val="0"/>
          <w:strike w:val="0"/>
          <w:sz w:val="16"/>
          <w:u w:val="none"/>
        </w:rPr>
        <w:t>Trade mark</w:t>
      </w:r>
      <w:r>
        <w:rPr>
          <w:b w:val="0"/>
          <w:i w:val="0"/>
          <w:smallCaps w:val="0"/>
          <w:strike w:val="0"/>
          <w:sz w:val="16"/>
          <w:u w:val="none"/>
        </w:rPr>
        <w:t xml:space="preserve"> target</w:t>
      </w:r>
    </w:p>
    <w:p>
      <w:pPr>
        <w:spacing w:after="60"/>
      </w:pPr>
      <w:r>
        <w:rPr>
          <w:b w:val="0"/>
          <w:i w:val="0"/>
          <w:smallCaps w:val="0"/>
          <w:strike w:val="0"/>
          <w:sz w:val="16"/>
          <w:u w:val="none"/>
        </w:rPr>
        <w:t>The World Intellectual Property Organization (</w:t>
      </w:r>
      <w:r>
        <w:rPr>
          <w:b w:val="0"/>
          <w:i w:val="0"/>
          <w:smallCaps w:val="0"/>
          <w:strike w:val="0"/>
          <w:sz w:val="22"/>
          <w:highlight w:val="cyan"/>
          <w:u w:val="single"/>
        </w:rPr>
        <w:t>WIPO) makes getting</w:t>
      </w:r>
      <w:r>
        <w:rPr>
          <w:b w:val="0"/>
          <w:i w:val="0"/>
          <w:smallCaps w:val="0"/>
          <w:strike w:val="0"/>
          <w:sz w:val="22"/>
          <w:u w:val="single"/>
        </w:rPr>
        <w:t xml:space="preserve"> a </w:t>
      </w:r>
      <w:r>
        <w:rPr>
          <w:b w:val="0"/>
          <w:i w:val="0"/>
          <w:smallCaps w:val="0"/>
          <w:strike w:val="0"/>
          <w:sz w:val="22"/>
          <w:highlight w:val="cyan"/>
          <w:u w:val="single"/>
        </w:rPr>
        <w:t>trade mark</w:t>
      </w:r>
      <w:r>
        <w:rPr>
          <w:b w:val="0"/>
          <w:i w:val="0"/>
          <w:smallCaps w:val="0"/>
          <w:strike w:val="0"/>
          <w:sz w:val="22"/>
          <w:u w:val="single"/>
        </w:rPr>
        <w:t xml:space="preserve"> in </w:t>
      </w:r>
      <w:r>
        <w:rPr>
          <w:b w:val="0"/>
          <w:i w:val="0"/>
          <w:smallCaps w:val="0"/>
          <w:strike w:val="0"/>
          <w:sz w:val="22"/>
          <w:highlight w:val="cyan"/>
          <w:u w:val="single"/>
        </w:rPr>
        <w:t>several territories possible</w:t>
      </w:r>
      <w:r>
        <w:rPr>
          <w:b w:val="0"/>
          <w:i w:val="0"/>
          <w:smallCaps w:val="0"/>
          <w:strike w:val="0"/>
          <w:sz w:val="22"/>
          <w:u w:val="single"/>
        </w:rPr>
        <w:t xml:space="preserve"> with </w:t>
      </w:r>
      <w:r>
        <w:rPr>
          <w:b w:val="0"/>
          <w:i w:val="0"/>
          <w:smallCaps w:val="0"/>
          <w:strike w:val="0"/>
          <w:sz w:val="22"/>
          <w:highlight w:val="cyan"/>
          <w:u w:val="single"/>
        </w:rPr>
        <w:t>one application</w:t>
      </w:r>
      <w:r>
        <w:rPr>
          <w:b w:val="0"/>
          <w:i w:val="0"/>
          <w:smallCaps w:val="0"/>
          <w:strike w:val="0"/>
          <w:sz w:val="16"/>
          <w:u w:val="none"/>
        </w:rPr>
        <w:t xml:space="preserve"> and one initial payment.</w:t>
      </w:r>
    </w:p>
    <w:p>
      <w:pPr>
        <w:spacing w:after="60"/>
      </w:pPr>
      <w:r>
        <w:rPr>
          <w:b w:val="0"/>
          <w:i w:val="0"/>
          <w:smallCaps w:val="0"/>
          <w:strike w:val="0"/>
          <w:sz w:val="16"/>
          <w:u w:val="none"/>
        </w:rPr>
        <w:t xml:space="preserve">WIPO offers the </w:t>
      </w:r>
      <w:r>
        <w:rPr>
          <w:b/>
          <w:i w:val="0"/>
          <w:smallCaps w:val="0"/>
          <w:strike w:val="0"/>
          <w:sz w:val="22"/>
          <w:highlight w:val="cyan"/>
          <w:u w:val="single"/>
        </w:rPr>
        <w:t>Madrid System</w:t>
      </w:r>
      <w:r>
        <w:rPr>
          <w:b w:val="0"/>
          <w:i w:val="0"/>
          <w:smallCaps w:val="0"/>
          <w:strike w:val="0"/>
          <w:sz w:val="16"/>
          <w:u w:val="none"/>
        </w:rPr>
        <w:t xml:space="preserve">, which makes it </w:t>
      </w:r>
      <w:r>
        <w:rPr>
          <w:b w:val="0"/>
          <w:i w:val="0"/>
          <w:smallCaps w:val="0"/>
          <w:strike w:val="0"/>
          <w:sz w:val="22"/>
          <w:highlight w:val="cyan"/>
          <w:u w:val="single"/>
        </w:rPr>
        <w:t>possible to file</w:t>
      </w:r>
      <w:r>
        <w:rPr>
          <w:b w:val="0"/>
          <w:i w:val="0"/>
          <w:smallCaps w:val="0"/>
          <w:strike w:val="0"/>
          <w:sz w:val="22"/>
          <w:u w:val="single"/>
        </w:rPr>
        <w:t xml:space="preserve"> a </w:t>
      </w:r>
      <w:r>
        <w:rPr>
          <w:b w:val="0"/>
          <w:i w:val="0"/>
          <w:smallCaps w:val="0"/>
          <w:strike w:val="0"/>
          <w:sz w:val="22"/>
          <w:highlight w:val="cyan"/>
          <w:u w:val="single"/>
        </w:rPr>
        <w:t>trade mark</w:t>
      </w:r>
      <w:r>
        <w:rPr>
          <w:b w:val="0"/>
          <w:i w:val="0"/>
          <w:smallCaps w:val="0"/>
          <w:strike w:val="0"/>
          <w:sz w:val="22"/>
          <w:u w:val="single"/>
        </w:rPr>
        <w:t xml:space="preserve"> in a number of </w:t>
      </w:r>
      <w:r>
        <w:rPr>
          <w:b w:val="0"/>
          <w:i w:val="0"/>
          <w:smallCaps w:val="0"/>
          <w:strike w:val="0"/>
          <w:sz w:val="22"/>
          <w:highlight w:val="cyan"/>
          <w:u w:val="single"/>
        </w:rPr>
        <w:t>countries around the world</w:t>
      </w:r>
      <w:r>
        <w:rPr>
          <w:b w:val="0"/>
          <w:i w:val="0"/>
          <w:smallCaps w:val="0"/>
          <w:strike w:val="0"/>
          <w:sz w:val="22"/>
          <w:u w:val="single"/>
        </w:rPr>
        <w:t xml:space="preserve"> in one application</w:t>
      </w:r>
      <w:r>
        <w:rPr>
          <w:b w:val="0"/>
          <w:i w:val="0"/>
          <w:smallCaps w:val="0"/>
          <w:strike w:val="0"/>
          <w:sz w:val="16"/>
          <w:u w:val="none"/>
        </w:rPr>
        <w:t xml:space="preserve">, as a bundle of national rights. </w:t>
      </w:r>
    </w:p>
    <w:p>
      <w:pPr>
        <w:spacing w:after="60"/>
      </w:pPr>
      <w:r>
        <w:rPr>
          <w:b w:val="0"/>
          <w:i w:val="0"/>
          <w:smallCaps w:val="0"/>
          <w:strike w:val="0"/>
          <w:sz w:val="16"/>
          <w:highlight w:val="cyan"/>
          <w:u w:val="none"/>
        </w:rPr>
        <w:t>First</w:t>
      </w:r>
      <w:r>
        <w:rPr>
          <w:b w:val="0"/>
          <w:i w:val="0"/>
          <w:smallCaps w:val="0"/>
          <w:strike w:val="0"/>
          <w:sz w:val="16"/>
          <w:u w:val="none"/>
        </w:rPr>
        <w:t xml:space="preserve"> you will </w:t>
      </w:r>
      <w:r>
        <w:rPr>
          <w:b w:val="0"/>
          <w:i w:val="0"/>
          <w:smallCaps w:val="0"/>
          <w:strike w:val="0"/>
          <w:sz w:val="22"/>
          <w:highlight w:val="cyan"/>
          <w:u w:val="single"/>
        </w:rPr>
        <w:t>need</w:t>
      </w:r>
      <w:r>
        <w:rPr>
          <w:b w:val="0"/>
          <w:i w:val="0"/>
          <w:smallCaps w:val="0"/>
          <w:strike w:val="0"/>
          <w:sz w:val="22"/>
          <w:u w:val="single"/>
        </w:rPr>
        <w:t xml:space="preserve"> a </w:t>
      </w:r>
      <w:r>
        <w:rPr>
          <w:b w:val="0"/>
          <w:i w:val="0"/>
          <w:smallCaps w:val="0"/>
          <w:strike w:val="0"/>
          <w:sz w:val="22"/>
          <w:highlight w:val="cyan"/>
          <w:u w:val="single"/>
        </w:rPr>
        <w:t xml:space="preserve">registered national </w:t>
      </w:r>
      <w:r>
        <w:rPr>
          <w:b w:val="0"/>
          <w:i w:val="0"/>
          <w:smallCaps w:val="0"/>
          <w:strike w:val="0"/>
          <w:sz w:val="22"/>
          <w:highlight w:val="cyan"/>
          <w:u w:val="single"/>
        </w:rPr>
        <w:t>trade mark</w:t>
      </w:r>
      <w:r>
        <w:rPr>
          <w:b w:val="0"/>
          <w:i w:val="0"/>
          <w:smallCaps w:val="0"/>
          <w:strike w:val="0"/>
          <w:sz w:val="22"/>
          <w:u w:val="single"/>
        </w:rPr>
        <w:t xml:space="preserve"> in a </w:t>
      </w:r>
      <w:r>
        <w:rPr>
          <w:b w:val="0"/>
          <w:i w:val="0"/>
          <w:smallCaps w:val="0"/>
          <w:strike w:val="0"/>
          <w:sz w:val="22"/>
          <w:highlight w:val="cyan"/>
          <w:u w:val="single"/>
        </w:rPr>
        <w:t>territory signed up</w:t>
      </w:r>
      <w:r>
        <w:rPr>
          <w:b w:val="0"/>
          <w:i w:val="0"/>
          <w:smallCaps w:val="0"/>
          <w:strike w:val="0"/>
          <w:sz w:val="22"/>
          <w:u w:val="single"/>
        </w:rPr>
        <w:t xml:space="preserve"> to either the </w:t>
      </w:r>
      <w:r>
        <w:rPr>
          <w:b w:val="0"/>
          <w:i w:val="0"/>
          <w:smallCaps w:val="0"/>
          <w:strike w:val="0"/>
          <w:sz w:val="22"/>
          <w:highlight w:val="cyan"/>
          <w:u w:val="single"/>
        </w:rPr>
        <w:t>Madrid Treaty</w:t>
      </w:r>
      <w:r>
        <w:rPr>
          <w:b w:val="0"/>
          <w:i w:val="0"/>
          <w:smallCaps w:val="0"/>
          <w:strike w:val="0"/>
          <w:sz w:val="16"/>
          <w:highlight w:val="cyan"/>
          <w:u w:val="none"/>
        </w:rPr>
        <w:t xml:space="preserve"> or</w:t>
      </w:r>
      <w:r>
        <w:rPr>
          <w:b w:val="0"/>
          <w:i w:val="0"/>
          <w:smallCaps w:val="0"/>
          <w:strike w:val="0"/>
          <w:sz w:val="16"/>
          <w:u w:val="none"/>
        </w:rPr>
        <w:t xml:space="preserve"> the </w:t>
      </w:r>
      <w:r>
        <w:rPr>
          <w:b w:val="0"/>
          <w:i w:val="0"/>
          <w:smallCaps w:val="0"/>
          <w:strike w:val="0"/>
          <w:sz w:val="16"/>
          <w:highlight w:val="cyan"/>
          <w:u w:val="none"/>
        </w:rPr>
        <w:t>Madrid Protocol</w:t>
      </w:r>
      <w:r>
        <w:rPr>
          <w:b w:val="0"/>
          <w:i w:val="0"/>
          <w:smallCaps w:val="0"/>
          <w:strike w:val="0"/>
          <w:sz w:val="16"/>
          <w:u w:val="none"/>
        </w:rPr>
        <w:t xml:space="preserve"> (click here to see a list of these territories). This ‘base registration’ is what your application for multiple new territories will be based on. </w:t>
      </w:r>
    </w:p>
    <w:p>
      <w:pPr>
        <w:spacing w:after="60"/>
      </w:pPr>
      <w:r>
        <w:rPr>
          <w:b w:val="0"/>
          <w:i w:val="0"/>
          <w:smallCaps w:val="0"/>
          <w:strike w:val="0"/>
          <w:sz w:val="16"/>
          <w:u w:val="none"/>
        </w:rPr>
        <w:t xml:space="preserve">It is important to note that an international registration will be linked to the fate of the base registration for a period of five years from the date of international registration – this means that if the base mark is limited or removed from its register, the entire international </w:t>
      </w:r>
      <w:r>
        <w:rPr>
          <w:b w:val="0"/>
          <w:i w:val="0"/>
          <w:smallCaps w:val="0"/>
          <w:strike w:val="0"/>
          <w:sz w:val="16"/>
          <w:u w:val="none"/>
        </w:rPr>
        <w:t>trade mark</w:t>
      </w:r>
      <w:r>
        <w:rPr>
          <w:b w:val="0"/>
          <w:i w:val="0"/>
          <w:smallCaps w:val="0"/>
          <w:strike w:val="0"/>
          <w:sz w:val="16"/>
          <w:u w:val="none"/>
        </w:rPr>
        <w:t xml:space="preserve"> will suffer the same fate.  </w:t>
      </w:r>
    </w:p>
    <w:p>
      <w:pPr>
        <w:spacing w:after="60"/>
      </w:pPr>
      <w:r>
        <w:rPr>
          <w:b w:val="0"/>
          <w:i w:val="0"/>
          <w:smallCaps w:val="0"/>
          <w:strike w:val="0"/>
          <w:sz w:val="16"/>
          <w:u w:val="none"/>
        </w:rPr>
        <w:t xml:space="preserve">An application for an international registration is filed via the same IP office as that of the national/regional base </w:t>
      </w:r>
      <w:r>
        <w:rPr>
          <w:b w:val="0"/>
          <w:i w:val="0"/>
          <w:smallCaps w:val="0"/>
          <w:strike w:val="0"/>
          <w:sz w:val="16"/>
          <w:u w:val="none"/>
        </w:rPr>
        <w:t>trade mark</w:t>
      </w:r>
      <w:r>
        <w:rPr>
          <w:b w:val="0"/>
          <w:i w:val="0"/>
          <w:smallCaps w:val="0"/>
          <w:strike w:val="0"/>
          <w:sz w:val="16"/>
          <w:u w:val="none"/>
        </w:rPr>
        <w:t xml:space="preserve">.  When filing the international registration, you choose which countries and territories that you would like to gain protection in (“designate”) with your </w:t>
      </w:r>
      <w:r>
        <w:rPr>
          <w:b w:val="0"/>
          <w:i w:val="0"/>
          <w:smallCaps w:val="0"/>
          <w:strike w:val="0"/>
          <w:sz w:val="16"/>
          <w:u w:val="none"/>
        </w:rPr>
        <w:t>trade mark</w:t>
      </w:r>
      <w:r>
        <w:rPr>
          <w:b w:val="0"/>
          <w:i w:val="0"/>
          <w:smallCaps w:val="0"/>
          <w:strike w:val="0"/>
          <w:sz w:val="16"/>
          <w:u w:val="none"/>
        </w:rPr>
        <w:t>.</w:t>
      </w:r>
    </w:p>
    <w:p>
      <w:pPr>
        <w:spacing w:after="60"/>
      </w:pPr>
      <w:r>
        <w:rPr>
          <w:b w:val="0"/>
          <w:i w:val="0"/>
          <w:smallCaps w:val="0"/>
          <w:strike w:val="0"/>
          <w:sz w:val="16"/>
          <w:u w:val="none"/>
        </w:rPr>
        <w:t xml:space="preserve">Once </w:t>
      </w:r>
      <w:r>
        <w:rPr>
          <w:b/>
          <w:i w:val="0"/>
          <w:smallCaps w:val="0"/>
          <w:strike w:val="0"/>
          <w:sz w:val="22"/>
          <w:highlight w:val="cyan"/>
          <w:u w:val="single"/>
        </w:rPr>
        <w:t>WIPO</w:t>
      </w:r>
      <w:r>
        <w:rPr>
          <w:b w:val="0"/>
          <w:i w:val="0"/>
          <w:smallCaps w:val="0"/>
          <w:strike w:val="0"/>
          <w:sz w:val="22"/>
          <w:highlight w:val="cyan"/>
          <w:u w:val="single"/>
        </w:rPr>
        <w:t xml:space="preserve"> receives and processes</w:t>
      </w:r>
      <w:r>
        <w:rPr>
          <w:b w:val="0"/>
          <w:i w:val="0"/>
          <w:smallCaps w:val="0"/>
          <w:strike w:val="0"/>
          <w:sz w:val="22"/>
          <w:u w:val="single"/>
        </w:rPr>
        <w:t xml:space="preserve"> the </w:t>
      </w:r>
      <w:r>
        <w:rPr>
          <w:b w:val="0"/>
          <w:i w:val="0"/>
          <w:smallCaps w:val="0"/>
          <w:strike w:val="0"/>
          <w:sz w:val="22"/>
          <w:highlight w:val="cyan"/>
          <w:u w:val="single"/>
        </w:rPr>
        <w:t>international application</w:t>
      </w:r>
      <w:r>
        <w:rPr>
          <w:b w:val="0"/>
          <w:i w:val="0"/>
          <w:smallCaps w:val="0"/>
          <w:strike w:val="0"/>
          <w:sz w:val="22"/>
          <w:u w:val="single"/>
        </w:rPr>
        <w:t xml:space="preserve">, they </w:t>
      </w:r>
      <w:r>
        <w:rPr>
          <w:b w:val="0"/>
          <w:i w:val="0"/>
          <w:smallCaps w:val="0"/>
          <w:strike w:val="0"/>
          <w:sz w:val="22"/>
          <w:highlight w:val="cyan"/>
          <w:u w:val="single"/>
        </w:rPr>
        <w:t>send it to each</w:t>
      </w:r>
      <w:r>
        <w:rPr>
          <w:b w:val="0"/>
          <w:i w:val="0"/>
          <w:smallCaps w:val="0"/>
          <w:strike w:val="0"/>
          <w:sz w:val="22"/>
          <w:u w:val="single"/>
        </w:rPr>
        <w:t xml:space="preserve"> of the </w:t>
      </w:r>
      <w:r>
        <w:rPr>
          <w:b w:val="0"/>
          <w:i w:val="0"/>
          <w:smallCaps w:val="0"/>
          <w:strike w:val="0"/>
          <w:sz w:val="22"/>
          <w:highlight w:val="cyan"/>
          <w:u w:val="single"/>
        </w:rPr>
        <w:t>countri</w:t>
      </w:r>
      <w:r>
        <w:rPr>
          <w:b w:val="0"/>
          <w:i w:val="0"/>
          <w:smallCaps w:val="0"/>
          <w:strike w:val="0"/>
          <w:sz w:val="22"/>
          <w:u w:val="single"/>
        </w:rPr>
        <w:t>es you have designated</w:t>
      </w:r>
      <w:r>
        <w:rPr>
          <w:b w:val="0"/>
          <w:i w:val="0"/>
          <w:smallCaps w:val="0"/>
          <w:strike w:val="0"/>
          <w:sz w:val="16"/>
          <w:u w:val="none"/>
        </w:rPr>
        <w:t xml:space="preserve">. Each has up to 18 months to conduct its own examination and raise any objections. In the event the objection is maintained, the application is refused for that country, but may proceed in the others. </w:t>
      </w:r>
    </w:p>
    <w:p>
      <w:pPr>
        <w:spacing w:after="60"/>
      </w:pPr>
      <w:r>
        <w:rPr>
          <w:b w:val="0"/>
          <w:i w:val="0"/>
          <w:smallCaps w:val="0"/>
          <w:strike w:val="0"/>
          <w:sz w:val="16"/>
          <w:u w:val="none"/>
        </w:rPr>
        <w:t>How much does it cost?</w:t>
      </w:r>
    </w:p>
    <w:p>
      <w:pPr>
        <w:spacing w:after="60"/>
      </w:pPr>
      <w:r>
        <w:rPr>
          <w:b w:val="0"/>
          <w:i w:val="0"/>
          <w:smallCaps w:val="0"/>
          <w:strike w:val="0"/>
          <w:sz w:val="16"/>
          <w:u w:val="none"/>
        </w:rPr>
        <w:t>The more countries you specify, the more it will cost you.</w:t>
      </w:r>
    </w:p>
    <w:p>
      <w:pPr>
        <w:spacing w:after="60"/>
      </w:pPr>
      <w:r>
        <w:rPr>
          <w:b w:val="0"/>
          <w:i w:val="0"/>
          <w:smallCaps w:val="0"/>
          <w:strike w:val="0"/>
          <w:sz w:val="16"/>
          <w:u w:val="none"/>
        </w:rPr>
        <w:t xml:space="preserve">In terms of official fees, the base rate is 653 Swiss francs (around £520), or 903 Swiss francs (around £720) for a </w:t>
      </w:r>
      <w:r>
        <w:rPr>
          <w:b w:val="0"/>
          <w:i w:val="0"/>
          <w:smallCaps w:val="0"/>
          <w:strike w:val="0"/>
          <w:sz w:val="16"/>
          <w:u w:val="none"/>
        </w:rPr>
        <w:t>colour</w:t>
      </w:r>
      <w:r>
        <w:rPr>
          <w:b w:val="0"/>
          <w:i w:val="0"/>
          <w:smallCaps w:val="0"/>
          <w:strike w:val="0"/>
          <w:sz w:val="16"/>
          <w:u w:val="none"/>
        </w:rPr>
        <w:t xml:space="preserve"> </w:t>
      </w:r>
      <w:r>
        <w:rPr>
          <w:b w:val="0"/>
          <w:i w:val="0"/>
          <w:smallCaps w:val="0"/>
          <w:strike w:val="0"/>
          <w:sz w:val="16"/>
          <w:u w:val="none"/>
        </w:rPr>
        <w:t>trade mark</w:t>
      </w:r>
      <w:r>
        <w:rPr>
          <w:b w:val="0"/>
          <w:i w:val="0"/>
          <w:smallCaps w:val="0"/>
          <w:strike w:val="0"/>
          <w:sz w:val="16"/>
          <w:u w:val="none"/>
        </w:rPr>
        <w:t xml:space="preserve">. </w:t>
      </w:r>
    </w:p>
    <w:p>
      <w:pPr>
        <w:spacing w:after="60"/>
      </w:pPr>
      <w:r>
        <w:rPr>
          <w:b w:val="0"/>
          <w:i w:val="0"/>
          <w:smallCaps w:val="0"/>
          <w:strike w:val="0"/>
          <w:sz w:val="16"/>
          <w:u w:val="none"/>
        </w:rPr>
        <w:t>WIPO has a fees calculator, click here</w:t>
      </w:r>
    </w:p>
    <w:p>
      <w:pPr>
        <w:spacing w:after="60"/>
      </w:pPr>
      <w:r>
        <w:rPr>
          <w:b w:val="0"/>
          <w:i w:val="0"/>
          <w:smallCaps w:val="0"/>
          <w:strike w:val="0"/>
          <w:sz w:val="16"/>
          <w:u w:val="none"/>
        </w:rPr>
        <w:t>You will usually need to pay an administration fee in the territory of your base mark to transmit it to WIPO. In the UK this is £40, in the EU it is EUR300</w:t>
      </w:r>
    </w:p>
    <w:p>
      <w:pPr>
        <w:spacing w:after="60"/>
      </w:pPr>
      <w:r>
        <w:rPr>
          <w:b w:val="0"/>
          <w:i w:val="0"/>
          <w:smallCaps w:val="0"/>
          <w:strike w:val="0"/>
          <w:sz w:val="22"/>
          <w:highlight w:val="cyan"/>
          <w:u w:val="single"/>
        </w:rPr>
        <w:t>Registering through</w:t>
      </w:r>
      <w:r>
        <w:rPr>
          <w:b w:val="0"/>
          <w:i w:val="0"/>
          <w:smallCaps w:val="0"/>
          <w:strike w:val="0"/>
          <w:sz w:val="22"/>
          <w:u w:val="single"/>
        </w:rPr>
        <w:t xml:space="preserve"> the </w:t>
      </w:r>
      <w:r>
        <w:rPr>
          <w:b w:val="0"/>
          <w:i w:val="0"/>
          <w:smallCaps w:val="0"/>
          <w:strike w:val="0"/>
          <w:sz w:val="22"/>
          <w:highlight w:val="cyan"/>
          <w:u w:val="single"/>
        </w:rPr>
        <w:t xml:space="preserve">international system is </w:t>
      </w:r>
      <w:r>
        <w:rPr>
          <w:b/>
          <w:i w:val="0"/>
          <w:smallCaps w:val="0"/>
          <w:strike w:val="0"/>
          <w:sz w:val="22"/>
          <w:highlight w:val="cyan"/>
          <w:u w:val="single"/>
        </w:rPr>
        <w:t>advantageous</w:t>
      </w:r>
      <w:r>
        <w:rPr>
          <w:b w:val="0"/>
          <w:i w:val="0"/>
          <w:smallCaps w:val="0"/>
          <w:strike w:val="0"/>
          <w:sz w:val="16"/>
          <w:u w:val="none"/>
        </w:rPr>
        <w:t xml:space="preserve"> because:</w:t>
      </w:r>
    </w:p>
    <w:p>
      <w:pPr>
        <w:spacing w:after="60"/>
      </w:pPr>
      <w:r>
        <w:rPr>
          <w:b/>
          <w:i w:val="0"/>
          <w:smallCaps w:val="0"/>
          <w:strike w:val="0"/>
          <w:sz w:val="22"/>
          <w:highlight w:val="cyan"/>
          <w:u w:val="single"/>
        </w:rPr>
        <w:t>Ease of administration</w:t>
      </w:r>
      <w:r>
        <w:rPr>
          <w:b w:val="0"/>
          <w:i w:val="0"/>
          <w:smallCaps w:val="0"/>
          <w:strike w:val="0"/>
          <w:sz w:val="16"/>
          <w:u w:val="none"/>
        </w:rPr>
        <w:t xml:space="preserve"> – an </w:t>
      </w:r>
      <w:r>
        <w:rPr>
          <w:b w:val="0"/>
          <w:i w:val="0"/>
          <w:smallCaps w:val="0"/>
          <w:strike w:val="0"/>
          <w:sz w:val="16"/>
          <w:highlight w:val="cyan"/>
          <w:u w:val="none"/>
        </w:rPr>
        <w:t>application</w:t>
      </w:r>
      <w:r>
        <w:rPr>
          <w:b w:val="0"/>
          <w:i w:val="0"/>
          <w:smallCaps w:val="0"/>
          <w:strike w:val="0"/>
          <w:sz w:val="16"/>
          <w:u w:val="none"/>
        </w:rPr>
        <w:t xml:space="preserve"> can be </w:t>
      </w:r>
      <w:r>
        <w:rPr>
          <w:b w:val="0"/>
          <w:i w:val="0"/>
          <w:smallCaps w:val="0"/>
          <w:strike w:val="0"/>
          <w:sz w:val="22"/>
          <w:highlight w:val="cyan"/>
          <w:u w:val="single"/>
        </w:rPr>
        <w:t>filed in English</w:t>
      </w:r>
      <w:r>
        <w:rPr>
          <w:b w:val="0"/>
          <w:i w:val="0"/>
          <w:smallCaps w:val="0"/>
          <w:strike w:val="0"/>
          <w:sz w:val="22"/>
          <w:u w:val="single"/>
        </w:rPr>
        <w:t xml:space="preserve"> but can </w:t>
      </w:r>
      <w:r>
        <w:rPr>
          <w:b w:val="0"/>
          <w:i w:val="0"/>
          <w:smallCaps w:val="0"/>
          <w:strike w:val="0"/>
          <w:sz w:val="22"/>
          <w:highlight w:val="cyan"/>
          <w:u w:val="single"/>
        </w:rPr>
        <w:t>provide protection</w:t>
      </w:r>
      <w:r>
        <w:rPr>
          <w:b w:val="0"/>
          <w:i w:val="0"/>
          <w:smallCaps w:val="0"/>
          <w:strike w:val="0"/>
          <w:sz w:val="22"/>
          <w:u w:val="single"/>
        </w:rPr>
        <w:t xml:space="preserve"> in </w:t>
      </w:r>
      <w:r>
        <w:rPr>
          <w:b w:val="0"/>
          <w:i w:val="0"/>
          <w:smallCaps w:val="0"/>
          <w:strike w:val="0"/>
          <w:sz w:val="22"/>
          <w:highlight w:val="cyan"/>
          <w:u w:val="single"/>
        </w:rPr>
        <w:t>multiple countries</w:t>
      </w:r>
      <w:r>
        <w:rPr>
          <w:b w:val="0"/>
          <w:i w:val="0"/>
          <w:smallCaps w:val="0"/>
          <w:strike w:val="0"/>
          <w:sz w:val="16"/>
          <w:u w:val="none"/>
        </w:rPr>
        <w:t xml:space="preserve">. By contrast, national applications usually require a </w:t>
      </w:r>
      <w:r>
        <w:rPr>
          <w:b w:val="0"/>
          <w:i w:val="0"/>
          <w:smallCaps w:val="0"/>
          <w:strike w:val="0"/>
          <w:sz w:val="16"/>
          <w:u w:val="none"/>
        </w:rPr>
        <w:t>trade mark</w:t>
      </w:r>
      <w:r>
        <w:rPr>
          <w:b w:val="0"/>
          <w:i w:val="0"/>
          <w:smallCaps w:val="0"/>
          <w:strike w:val="0"/>
          <w:sz w:val="16"/>
          <w:u w:val="none"/>
        </w:rPr>
        <w:t xml:space="preserve"> attorney in each country.</w:t>
      </w:r>
    </w:p>
    <w:p>
      <w:pPr>
        <w:spacing w:after="60"/>
      </w:pPr>
      <w:r>
        <w:rPr>
          <w:b w:val="0"/>
          <w:i w:val="0"/>
          <w:smallCaps w:val="0"/>
          <w:strike w:val="0"/>
          <w:sz w:val="16"/>
          <w:u w:val="none"/>
        </w:rPr>
        <w:t xml:space="preserve">Cost effective – official filing fees can be less and there can be further cost savings because there is no need to appoint local </w:t>
      </w:r>
      <w:r>
        <w:rPr>
          <w:b w:val="0"/>
          <w:i w:val="0"/>
          <w:smallCaps w:val="0"/>
          <w:strike w:val="0"/>
          <w:sz w:val="16"/>
          <w:u w:val="none"/>
        </w:rPr>
        <w:t>trade mark</w:t>
      </w:r>
      <w:r>
        <w:rPr>
          <w:b w:val="0"/>
          <w:i w:val="0"/>
          <w:smallCaps w:val="0"/>
          <w:strike w:val="0"/>
          <w:sz w:val="16"/>
          <w:u w:val="none"/>
        </w:rPr>
        <w:t xml:space="preserve"> attorneys unless issues arise during the registration process. </w:t>
      </w:r>
    </w:p>
    <w:p>
      <w:pPr>
        <w:spacing w:after="60"/>
      </w:pPr>
      <w:r>
        <w:rPr>
          <w:b w:val="0"/>
          <w:i w:val="0"/>
          <w:smallCaps w:val="0"/>
          <w:strike w:val="0"/>
          <w:sz w:val="16"/>
          <w:u w:val="none"/>
        </w:rPr>
        <w:t xml:space="preserve">Subsequent management – </w:t>
      </w:r>
      <w:r>
        <w:rPr>
          <w:b w:val="0"/>
          <w:i w:val="0"/>
          <w:smallCaps w:val="0"/>
          <w:strike w:val="0"/>
          <w:sz w:val="22"/>
          <w:u w:val="single"/>
        </w:rPr>
        <w:t xml:space="preserve">maintaining the </w:t>
      </w:r>
      <w:r>
        <w:rPr>
          <w:b w:val="0"/>
          <w:i w:val="0"/>
          <w:smallCaps w:val="0"/>
          <w:strike w:val="0"/>
          <w:sz w:val="22"/>
          <w:highlight w:val="cyan"/>
          <w:u w:val="single"/>
        </w:rPr>
        <w:t>trade mark</w:t>
      </w:r>
      <w:r>
        <w:rPr>
          <w:b w:val="0"/>
          <w:i w:val="0"/>
          <w:smallCaps w:val="0"/>
          <w:strike w:val="0"/>
          <w:sz w:val="22"/>
          <w:highlight w:val="cyan"/>
          <w:u w:val="single"/>
        </w:rPr>
        <w:t xml:space="preserve"> is </w:t>
      </w:r>
      <w:r>
        <w:rPr>
          <w:b/>
          <w:i w:val="0"/>
          <w:smallCaps w:val="0"/>
          <w:strike w:val="0"/>
          <w:sz w:val="22"/>
          <w:highlight w:val="cyan"/>
          <w:u w:val="single"/>
        </w:rPr>
        <w:t>managed centrally at WIPO</w:t>
      </w:r>
      <w:r>
        <w:rPr>
          <w:b w:val="0"/>
          <w:i w:val="0"/>
          <w:smallCaps w:val="0"/>
          <w:strike w:val="0"/>
          <w:sz w:val="22"/>
          <w:u w:val="single"/>
        </w:rPr>
        <w:t xml:space="preserve"> and so is </w:t>
      </w:r>
      <w:r>
        <w:rPr>
          <w:b w:val="0"/>
          <w:i w:val="0"/>
          <w:smallCaps w:val="0"/>
          <w:strike w:val="0"/>
          <w:sz w:val="22"/>
          <w:highlight w:val="cyan"/>
          <w:u w:val="single"/>
        </w:rPr>
        <w:t>administratively easier</w:t>
      </w:r>
      <w:r>
        <w:rPr>
          <w:b w:val="0"/>
          <w:i w:val="0"/>
          <w:smallCaps w:val="0"/>
          <w:strike w:val="0"/>
          <w:sz w:val="22"/>
          <w:u w:val="single"/>
        </w:rPr>
        <w:t xml:space="preserve"> and more cost effective</w:t>
      </w:r>
      <w:r>
        <w:rPr>
          <w:b w:val="0"/>
          <w:i w:val="0"/>
          <w:smallCaps w:val="0"/>
          <w:strike w:val="0"/>
          <w:sz w:val="16"/>
          <w:u w:val="none"/>
        </w:rPr>
        <w:t xml:space="preserve">. It is also possible to add countries to an international registration at a later date, so your </w:t>
      </w:r>
      <w:r>
        <w:rPr>
          <w:b w:val="0"/>
          <w:i w:val="0"/>
          <w:smallCaps w:val="0"/>
          <w:strike w:val="0"/>
          <w:sz w:val="16"/>
          <w:u w:val="none"/>
        </w:rPr>
        <w:t>trade mark</w:t>
      </w:r>
      <w:r>
        <w:rPr>
          <w:b w:val="0"/>
          <w:i w:val="0"/>
          <w:smallCaps w:val="0"/>
          <w:strike w:val="0"/>
          <w:sz w:val="16"/>
          <w:u w:val="none"/>
        </w:rPr>
        <w:t xml:space="preserve"> protection can expand with your business. </w:t>
      </w:r>
    </w:p>
    <w:p>
      <w:pPr>
        <w:pStyle w:val="Caption"/>
      </w:pPr>
      <w:r>
        <w:t>Source: Consult WIPO CP - Michigan 7 2024 CGO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