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1NC said the court will </w:t>
      </w:r>
      <w:r>
        <w:rPr>
          <w:b/>
          <w:i w:val="0"/>
          <w:smallCaps w:val="0"/>
          <w:strike w:val="0"/>
          <w:sz w:val="26"/>
          <w:u w:val="single"/>
        </w:rPr>
        <w:t>cannibalize</w:t>
      </w:r>
      <w:r>
        <w:rPr>
          <w:b/>
          <w:i w:val="0"/>
          <w:smallCaps w:val="0"/>
          <w:strike w:val="0"/>
          <w:sz w:val="26"/>
          <w:u w:val="none"/>
        </w:rPr>
        <w:t xml:space="preserve"> the </w:t>
      </w:r>
      <w:r>
        <w:rPr>
          <w:b/>
          <w:i w:val="0"/>
          <w:smallCaps w:val="0"/>
          <w:strike w:val="0"/>
          <w:sz w:val="26"/>
          <w:u w:val="single"/>
        </w:rPr>
        <w:t>administrative state</w:t>
      </w:r>
      <w:r>
        <w:rPr>
          <w:b/>
          <w:i w:val="0"/>
          <w:smallCaps w:val="0"/>
          <w:strike w:val="0"/>
          <w:sz w:val="26"/>
          <w:u w:val="none"/>
        </w:rPr>
        <w:t xml:space="preserve">---extinction. </w:t>
      </w:r>
    </w:p>
    <w:p>
      <w:pPr>
        <w:spacing w:after="80"/>
      </w:pPr>
      <w:r>
        <w:rPr>
          <w:b/>
          <w:i w:val="0"/>
          <w:smallCaps w:val="0"/>
          <w:strike w:val="0"/>
          <w:sz w:val="26"/>
          <w:u w:val="none"/>
        </w:rPr>
        <w:t>Collier</w:t>
      </w:r>
      <w:r>
        <w:rPr>
          <w:b/>
          <w:i w:val="0"/>
          <w:smallCaps w:val="0"/>
          <w:strike w:val="0"/>
          <w:sz w:val="26"/>
          <w:u w:val="none"/>
        </w:rPr>
        <w:t xml:space="preserve"> ’</w:t>
      </w:r>
      <w:r>
        <w:rPr>
          <w:b/>
          <w:i w:val="0"/>
          <w:smallCaps w:val="0"/>
          <w:strike w:val="0"/>
          <w:sz w:val="26"/>
          <w:u w:val="none"/>
        </w:rPr>
        <w:t>21</w:t>
      </w:r>
      <w:r>
        <w:rPr>
          <w:b w:val="0"/>
          <w:i w:val="0"/>
          <w:smallCaps w:val="0"/>
          <w:strike w:val="0"/>
          <w:sz w:val="22"/>
          <w:u w:val="none"/>
        </w:rPr>
        <w:t xml:space="preserve"> [</w:t>
      </w:r>
      <w:r>
        <w:rPr>
          <w:b w:val="0"/>
          <w:i w:val="0"/>
          <w:smallCaps w:val="0"/>
          <w:strike w:val="0"/>
          <w:sz w:val="22"/>
          <w:u w:val="none"/>
        </w:rPr>
        <w:t>Dr. Stephen J</w:t>
      </w:r>
      <w:r>
        <w:rPr>
          <w:b w:val="0"/>
          <w:i w:val="0"/>
          <w:smallCaps w:val="0"/>
          <w:strike w:val="0"/>
          <w:sz w:val="22"/>
          <w:u w:val="none"/>
        </w:rPr>
        <w:t xml:space="preserve">; </w:t>
      </w:r>
      <w:r>
        <w:rPr>
          <w:b w:val="0"/>
          <w:i w:val="0"/>
          <w:smallCaps w:val="0"/>
          <w:strike w:val="0"/>
          <w:sz w:val="22"/>
          <w:u w:val="none"/>
        </w:rPr>
        <w:t>November</w:t>
      </w:r>
      <w:r>
        <w:rPr>
          <w:b w:val="0"/>
          <w:i w:val="0"/>
          <w:smallCaps w:val="0"/>
          <w:strike w:val="0"/>
          <w:sz w:val="22"/>
          <w:u w:val="none"/>
        </w:rPr>
        <w:t xml:space="preserve">; </w:t>
      </w:r>
      <w:r>
        <w:rPr>
          <w:b w:val="0"/>
          <w:i w:val="0"/>
          <w:smallCaps w:val="0"/>
          <w:strike w:val="0"/>
          <w:sz w:val="22"/>
          <w:u w:val="none"/>
        </w:rPr>
        <w:t>Professor of City &amp; Regional Planning at the University of California, Berkeley, PhD in Anthropology from the University of California, Berkeley</w:t>
      </w:r>
      <w:r>
        <w:rPr>
          <w:b w:val="0"/>
          <w:i w:val="0"/>
          <w:smallCaps w:val="0"/>
          <w:strike w:val="0"/>
          <w:sz w:val="22"/>
          <w:u w:val="none"/>
        </w:rPr>
        <w:t xml:space="preserve">; </w:t>
      </w:r>
      <w:r>
        <w:rPr>
          <w:b w:val="0"/>
          <w:i w:val="0"/>
          <w:smallCaps w:val="0"/>
          <w:strike w:val="0"/>
          <w:sz w:val="22"/>
          <w:u w:val="none"/>
        </w:rPr>
        <w:t>Princeton</w:t>
      </w:r>
      <w:r>
        <w:rPr>
          <w:b w:val="0"/>
          <w:i w:val="0"/>
          <w:smallCaps w:val="0"/>
          <w:strike w:val="0"/>
          <w:sz w:val="22"/>
          <w:u w:val="none"/>
        </w:rPr>
        <w:t>, “</w:t>
      </w:r>
      <w:r>
        <w:rPr>
          <w:b w:val="0"/>
          <w:i w:val="0"/>
          <w:smallCaps w:val="0"/>
          <w:strike w:val="0"/>
          <w:sz w:val="22"/>
          <w:u w:val="none"/>
        </w:rPr>
        <w:t>The Government of Emergency: Vital Systems, Expertise, and the Politics of Security</w:t>
      </w:r>
      <w:r>
        <w:rPr>
          <w:b w:val="0"/>
          <w:i w:val="0"/>
          <w:smallCaps w:val="0"/>
          <w:strike w:val="0"/>
          <w:sz w:val="22"/>
          <w:u w:val="none"/>
        </w:rPr>
        <w:t xml:space="preserve">,” </w:t>
      </w:r>
      <w:r>
        <w:rPr>
          <w:b w:val="0"/>
          <w:i w:val="0"/>
          <w:smallCaps w:val="0"/>
          <w:strike w:val="0"/>
          <w:sz w:val="22"/>
          <w:u w:val="none"/>
        </w:rPr>
        <w:t>p. xi-19</w:t>
      </w:r>
      <w:r>
        <w:rPr>
          <w:b w:val="0"/>
          <w:i w:val="0"/>
          <w:smallCaps w:val="0"/>
          <w:strike w:val="0"/>
          <w:sz w:val="22"/>
          <w:u w:val="none"/>
        </w:rPr>
        <w:t>]</w:t>
      </w:r>
    </w:p>
    <w:p>
      <w:pPr>
        <w:spacing w:after="60"/>
      </w:pPr>
      <w:r>
        <w:rPr>
          <w:b w:val="0"/>
          <w:i w:val="0"/>
          <w:smallCaps w:val="0"/>
          <w:strike w:val="0"/>
          <w:sz w:val="22"/>
          <w:u w:val="single"/>
        </w:rPr>
        <w:t xml:space="preserve">The evidence is clear: </w:t>
      </w:r>
      <w:r>
        <w:rPr>
          <w:b w:val="0"/>
          <w:i w:val="0"/>
          <w:smallCaps w:val="0"/>
          <w:strike w:val="0"/>
          <w:sz w:val="22"/>
          <w:highlight w:val="cyan"/>
          <w:u w:val="single"/>
        </w:rPr>
        <w:t>we live in</w:t>
      </w:r>
      <w:r>
        <w:rPr>
          <w:b w:val="0"/>
          <w:i w:val="0"/>
          <w:smallCaps w:val="0"/>
          <w:strike w:val="0"/>
          <w:sz w:val="22"/>
          <w:u w:val="single"/>
        </w:rPr>
        <w:t xml:space="preserve"> an </w:t>
      </w:r>
      <w:r>
        <w:rPr>
          <w:b/>
          <w:i w:val="0"/>
          <w:smallCaps w:val="0"/>
          <w:strike w:val="0"/>
          <w:sz w:val="24"/>
          <w:u w:val="single"/>
        </w:rPr>
        <w:t xml:space="preserve">increasingly </w:t>
      </w:r>
      <w:r>
        <w:rPr>
          <w:b/>
          <w:i w:val="0"/>
          <w:smallCaps w:val="0"/>
          <w:strike w:val="0"/>
          <w:sz w:val="24"/>
          <w:highlight w:val="cyan"/>
          <w:u w:val="single"/>
        </w:rPr>
        <w:t>vulnerable</w:t>
      </w:r>
      <w:r>
        <w:rPr>
          <w:b w:val="0"/>
          <w:i w:val="0"/>
          <w:smallCaps w:val="0"/>
          <w:strike w:val="0"/>
          <w:sz w:val="22"/>
          <w:highlight w:val="cyan"/>
          <w:u w:val="single"/>
        </w:rPr>
        <w:t xml:space="preserve"> world</w:t>
      </w:r>
      <w:r>
        <w:rPr>
          <w:b w:val="0"/>
          <w:i w:val="0"/>
          <w:smallCaps w:val="0"/>
          <w:strike w:val="0"/>
          <w:sz w:val="16"/>
          <w:u w:val="none"/>
        </w:rPr>
        <w:t xml:space="preserve">. Maps with isometric lines indicating flood zones tell us about the ever-growing likelihood that the places we live will be inundated in future hurricanes, torrential rains, or even high tides. Emergency exercises reveal that governmental response systems are not prepared to deal with future </w:t>
      </w:r>
      <w:r>
        <w:rPr>
          <w:b/>
          <w:i w:val="0"/>
          <w:smallCaps w:val="0"/>
          <w:strike w:val="0"/>
          <w:sz w:val="24"/>
          <w:highlight w:val="cyan"/>
          <w:u w:val="single"/>
        </w:rPr>
        <w:t>disease</w:t>
      </w:r>
      <w:r>
        <w:rPr>
          <w:b w:val="0"/>
          <w:i w:val="0"/>
          <w:smallCaps w:val="0"/>
          <w:strike w:val="0"/>
          <w:sz w:val="22"/>
          <w:u w:val="single"/>
        </w:rPr>
        <w:t xml:space="preserve"> outbreaks</w:t>
      </w:r>
      <w:r>
        <w:rPr>
          <w:b w:val="0"/>
          <w:i w:val="0"/>
          <w:smallCaps w:val="0"/>
          <w:strike w:val="0"/>
          <w:sz w:val="16"/>
          <w:u w:val="none"/>
        </w:rPr>
        <w:t xml:space="preserve">. Stress tests isolate </w:t>
      </w:r>
      <w:r>
        <w:rPr>
          <w:b w:val="0"/>
          <w:i w:val="0"/>
          <w:smallCaps w:val="0"/>
          <w:strike w:val="0"/>
          <w:sz w:val="22"/>
          <w:highlight w:val="cyan"/>
          <w:u w:val="single"/>
        </w:rPr>
        <w:t>weak</w:t>
      </w:r>
      <w:r>
        <w:rPr>
          <w:b w:val="0"/>
          <w:i w:val="0"/>
          <w:smallCaps w:val="0"/>
          <w:strike w:val="0"/>
          <w:sz w:val="22"/>
          <w:u w:val="single"/>
        </w:rPr>
        <w:t xml:space="preserve"> links in national and </w:t>
      </w:r>
      <w:r>
        <w:rPr>
          <w:b w:val="0"/>
          <w:i w:val="0"/>
          <w:smallCaps w:val="0"/>
          <w:strike w:val="0"/>
          <w:sz w:val="22"/>
          <w:u w:val="single"/>
        </w:rPr>
        <w:t xml:space="preserve">global </w:t>
      </w:r>
      <w:r>
        <w:rPr>
          <w:b/>
          <w:i w:val="0"/>
          <w:smallCaps w:val="0"/>
          <w:strike w:val="0"/>
          <w:sz w:val="24"/>
          <w:highlight w:val="cyan"/>
          <w:u w:val="single"/>
        </w:rPr>
        <w:t>financial</w:t>
      </w:r>
      <w:r>
        <w:rPr>
          <w:b/>
          <w:i w:val="0"/>
          <w:smallCaps w:val="0"/>
          <w:strike w:val="0"/>
          <w:sz w:val="24"/>
          <w:u w:val="single"/>
        </w:rPr>
        <w:t xml:space="preserve"> systems</w:t>
      </w:r>
      <w:r>
        <w:rPr>
          <w:b w:val="0"/>
          <w:i w:val="0"/>
          <w:smallCaps w:val="0"/>
          <w:strike w:val="0"/>
          <w:sz w:val="16"/>
          <w:u w:val="none"/>
        </w:rPr>
        <w:t xml:space="preserve"> that would be exposed in the event of a panic or an economic downturn. </w:t>
      </w:r>
      <w:r>
        <w:rPr>
          <w:b w:val="0"/>
          <w:i w:val="0"/>
          <w:smallCaps w:val="0"/>
          <w:strike w:val="0"/>
          <w:sz w:val="22"/>
          <w:u w:val="single"/>
        </w:rPr>
        <w:t>Network analyses point to</w:t>
      </w:r>
      <w:r>
        <w:rPr>
          <w:b w:val="0"/>
          <w:i w:val="0"/>
          <w:smallCaps w:val="0"/>
          <w:strike w:val="0"/>
          <w:sz w:val="16"/>
          <w:u w:val="none"/>
        </w:rPr>
        <w:t xml:space="preserve"> alarming </w:t>
      </w:r>
      <w:r>
        <w:rPr>
          <w:b w:val="0"/>
          <w:i w:val="0"/>
          <w:smallCaps w:val="0"/>
          <w:strike w:val="0"/>
          <w:sz w:val="22"/>
          <w:u w:val="single"/>
        </w:rPr>
        <w:t>vulnerabilities</w:t>
      </w:r>
      <w:r>
        <w:rPr>
          <w:b w:val="0"/>
          <w:i w:val="0"/>
          <w:smallCaps w:val="0"/>
          <w:strike w:val="0"/>
          <w:sz w:val="22"/>
          <w:u w:val="single"/>
        </w:rPr>
        <w:t xml:space="preserve"> to </w:t>
      </w:r>
      <w:r>
        <w:rPr>
          <w:b/>
          <w:i w:val="0"/>
          <w:smallCaps w:val="0"/>
          <w:strike w:val="0"/>
          <w:sz w:val="24"/>
          <w:highlight w:val="cyan"/>
          <w:u w:val="single"/>
        </w:rPr>
        <w:t>accidents</w:t>
      </w:r>
      <w:r>
        <w:rPr>
          <w:b w:val="0"/>
          <w:i w:val="0"/>
          <w:smallCaps w:val="0"/>
          <w:strike w:val="0"/>
          <w:sz w:val="22"/>
          <w:u w:val="single"/>
        </w:rPr>
        <w:t xml:space="preserve"> or </w:t>
      </w:r>
      <w:r>
        <w:rPr>
          <w:b/>
          <w:i w:val="0"/>
          <w:smallCaps w:val="0"/>
          <w:strike w:val="0"/>
          <w:sz w:val="24"/>
          <w:highlight w:val="cyan"/>
          <w:u w:val="single"/>
        </w:rPr>
        <w:t>attacks</w:t>
      </w:r>
      <w:r>
        <w:rPr>
          <w:b w:val="0"/>
          <w:i w:val="0"/>
          <w:smallCaps w:val="0"/>
          <w:strike w:val="0"/>
          <w:sz w:val="22"/>
          <w:u w:val="single"/>
        </w:rPr>
        <w:t xml:space="preserve"> (whether cyber or physical) </w:t>
      </w:r>
      <w:r>
        <w:rPr>
          <w:b w:val="0"/>
          <w:i w:val="0"/>
          <w:smallCaps w:val="0"/>
          <w:strike w:val="0"/>
          <w:sz w:val="22"/>
          <w:highlight w:val="cyan"/>
          <w:u w:val="single"/>
        </w:rPr>
        <w:t>on</w:t>
      </w:r>
      <w:r>
        <w:rPr>
          <w:b w:val="0"/>
          <w:i w:val="0"/>
          <w:smallCaps w:val="0"/>
          <w:strike w:val="0"/>
          <w:sz w:val="22"/>
          <w:u w:val="single"/>
        </w:rPr>
        <w:t xml:space="preserve"> critical nodes of </w:t>
      </w:r>
      <w:r>
        <w:rPr>
          <w:b/>
          <w:i w:val="0"/>
          <w:smallCaps w:val="0"/>
          <w:strike w:val="0"/>
          <w:sz w:val="24"/>
          <w:u w:val="single"/>
        </w:rPr>
        <w:t xml:space="preserve">power </w:t>
      </w:r>
      <w:r>
        <w:rPr>
          <w:b/>
          <w:i w:val="0"/>
          <w:smallCaps w:val="0"/>
          <w:strike w:val="0"/>
          <w:sz w:val="24"/>
          <w:highlight w:val="cyan"/>
          <w:u w:val="single"/>
        </w:rPr>
        <w:t>systems</w:t>
      </w:r>
      <w:r>
        <w:rPr>
          <w:b w:val="0"/>
          <w:i w:val="0"/>
          <w:smallCaps w:val="0"/>
          <w:strike w:val="0"/>
          <w:sz w:val="22"/>
          <w:u w:val="single"/>
        </w:rPr>
        <w:t xml:space="preserve">. Models of </w:t>
      </w:r>
      <w:r>
        <w:rPr>
          <w:b/>
          <w:i w:val="0"/>
          <w:smallCaps w:val="0"/>
          <w:strike w:val="0"/>
          <w:sz w:val="24"/>
          <w:highlight w:val="cyan"/>
          <w:u w:val="single"/>
        </w:rPr>
        <w:t>climate</w:t>
      </w:r>
      <w:r>
        <w:rPr>
          <w:b w:val="0"/>
          <w:i w:val="0"/>
          <w:smallCaps w:val="0"/>
          <w:strike w:val="0"/>
          <w:sz w:val="22"/>
          <w:u w:val="single"/>
        </w:rPr>
        <w:t xml:space="preserve"> change demonstrate</w:t>
      </w:r>
      <w:r>
        <w:rPr>
          <w:b w:val="0"/>
          <w:i w:val="0"/>
          <w:smallCaps w:val="0"/>
          <w:strike w:val="0"/>
          <w:sz w:val="16"/>
          <w:u w:val="none"/>
        </w:rPr>
        <w:t xml:space="preserve"> the </w:t>
      </w:r>
      <w:r>
        <w:rPr>
          <w:b w:val="0"/>
          <w:i w:val="0"/>
          <w:smallCaps w:val="0"/>
          <w:strike w:val="0"/>
          <w:sz w:val="22"/>
          <w:u w:val="single"/>
        </w:rPr>
        <w:t>vulnerability</w:t>
      </w:r>
      <w:r>
        <w:rPr>
          <w:b w:val="0"/>
          <w:i w:val="0"/>
          <w:smallCaps w:val="0"/>
          <w:strike w:val="0"/>
          <w:sz w:val="16"/>
          <w:u w:val="none"/>
        </w:rPr>
        <w:t xml:space="preserve"> of cities and critical infrastructures to heat waves, drought, floods, and landslides. </w:t>
      </w:r>
      <w:r>
        <w:rPr>
          <w:b w:val="0"/>
          <w:i w:val="0"/>
          <w:smallCaps w:val="0"/>
          <w:strike w:val="0"/>
          <w:sz w:val="22"/>
          <w:u w:val="single"/>
        </w:rPr>
        <w:t xml:space="preserve">This mountain of evidence points to a troubling contemporary reality: the </w:t>
      </w:r>
      <w:r>
        <w:rPr>
          <w:b/>
          <w:i w:val="0"/>
          <w:smallCaps w:val="0"/>
          <w:strike w:val="0"/>
          <w:sz w:val="24"/>
          <w:highlight w:val="cyan"/>
          <w:u w:val="single"/>
        </w:rPr>
        <w:t>vulnerability</w:t>
      </w:r>
      <w:r>
        <w:rPr>
          <w:b w:val="0"/>
          <w:i w:val="0"/>
          <w:smallCaps w:val="0"/>
          <w:strike w:val="0"/>
          <w:sz w:val="22"/>
          <w:highlight w:val="cyan"/>
          <w:u w:val="single"/>
        </w:rPr>
        <w:t xml:space="preserve"> of</w:t>
      </w:r>
      <w:r>
        <w:rPr>
          <w:b w:val="0"/>
          <w:i w:val="0"/>
          <w:smallCaps w:val="0"/>
          <w:strike w:val="0"/>
          <w:sz w:val="22"/>
          <w:u w:val="single"/>
        </w:rPr>
        <w:t xml:space="preserve"> the </w:t>
      </w:r>
      <w:r>
        <w:rPr>
          <w:b/>
          <w:i w:val="0"/>
          <w:smallCaps w:val="0"/>
          <w:strike w:val="0"/>
          <w:sz w:val="24"/>
          <w:u w:val="single"/>
        </w:rPr>
        <w:t xml:space="preserve">vital </w:t>
      </w:r>
      <w:r>
        <w:rPr>
          <w:b/>
          <w:i w:val="0"/>
          <w:smallCaps w:val="0"/>
          <w:strike w:val="0"/>
          <w:sz w:val="24"/>
          <w:highlight w:val="cyan"/>
          <w:u w:val="single"/>
        </w:rPr>
        <w:t>systems</w:t>
      </w:r>
      <w:r>
        <w:rPr>
          <w:b w:val="0"/>
          <w:i w:val="0"/>
          <w:smallCaps w:val="0"/>
          <w:strike w:val="0"/>
          <w:sz w:val="22"/>
          <w:highlight w:val="cyan"/>
          <w:u w:val="single"/>
        </w:rPr>
        <w:t xml:space="preserve"> on which</w:t>
      </w:r>
      <w:r>
        <w:rPr>
          <w:b w:val="0"/>
          <w:i w:val="0"/>
          <w:smallCaps w:val="0"/>
          <w:strike w:val="0"/>
          <w:sz w:val="22"/>
          <w:u w:val="single"/>
        </w:rPr>
        <w:t xml:space="preserve"> modern </w:t>
      </w:r>
      <w:r>
        <w:rPr>
          <w:b/>
          <w:i w:val="0"/>
          <w:smallCaps w:val="0"/>
          <w:strike w:val="0"/>
          <w:sz w:val="24"/>
          <w:highlight w:val="cyan"/>
          <w:u w:val="single"/>
        </w:rPr>
        <w:t>life depends</w:t>
      </w:r>
      <w:r>
        <w:rPr>
          <w:b w:val="0"/>
          <w:i w:val="0"/>
          <w:smallCaps w:val="0"/>
          <w:strike w:val="0"/>
          <w:sz w:val="22"/>
          <w:u w:val="single"/>
        </w:rPr>
        <w:t xml:space="preserve"> to a </w:t>
      </w:r>
      <w:r>
        <w:rPr>
          <w:b/>
          <w:i w:val="0"/>
          <w:smallCaps w:val="0"/>
          <w:strike w:val="0"/>
          <w:sz w:val="24"/>
          <w:u w:val="single"/>
        </w:rPr>
        <w:t>startling range</w:t>
      </w:r>
      <w:r>
        <w:rPr>
          <w:b w:val="0"/>
          <w:i w:val="0"/>
          <w:smallCaps w:val="0"/>
          <w:strike w:val="0"/>
          <w:sz w:val="22"/>
          <w:u w:val="single"/>
        </w:rPr>
        <w:t xml:space="preserve"> of potentially </w:t>
      </w:r>
      <w:r>
        <w:rPr>
          <w:b/>
          <w:i w:val="0"/>
          <w:smallCaps w:val="0"/>
          <w:strike w:val="0"/>
          <w:sz w:val="24"/>
          <w:u w:val="single"/>
        </w:rPr>
        <w:t>catastrophic events</w:t>
      </w:r>
      <w:r>
        <w:rPr>
          <w:b w:val="0"/>
          <w:i w:val="0"/>
          <w:smallCaps w:val="0"/>
          <w:strike w:val="0"/>
          <w:sz w:val="16"/>
          <w:u w:val="none"/>
        </w:rPr>
        <w:t>.1</w:t>
      </w:r>
    </w:p>
    <w:p>
      <w:pPr>
        <w:spacing w:after="60"/>
      </w:pPr>
      <w:r>
        <w:rPr>
          <w:b w:val="0"/>
          <w:i w:val="0"/>
          <w:smallCaps w:val="0"/>
          <w:strike w:val="0"/>
          <w:sz w:val="16"/>
          <w:u w:val="none"/>
        </w:rPr>
        <w:t xml:space="preserve">Discussions of vulnerability and preparedness are often, understandably, caught up in the urgency of recent disasters and future threats: a looming hurricane; a critical system that is prone to failure; </w:t>
      </w:r>
      <w:r>
        <w:rPr>
          <w:b w:val="0"/>
          <w:i w:val="0"/>
          <w:smallCaps w:val="0"/>
          <w:strike w:val="0"/>
          <w:sz w:val="22"/>
          <w:u w:val="single"/>
        </w:rPr>
        <w:t xml:space="preserve">a virus that is a </w:t>
      </w:r>
      <w:r>
        <w:rPr>
          <w:b/>
          <w:i w:val="0"/>
          <w:smallCaps w:val="0"/>
          <w:strike w:val="0"/>
          <w:sz w:val="24"/>
          <w:u w:val="single"/>
        </w:rPr>
        <w:t>single mutation away</w:t>
      </w:r>
      <w:r>
        <w:rPr>
          <w:b w:val="0"/>
          <w:i w:val="0"/>
          <w:smallCaps w:val="0"/>
          <w:strike w:val="0"/>
          <w:sz w:val="22"/>
          <w:u w:val="single"/>
        </w:rPr>
        <w:t xml:space="preserve"> from causing a </w:t>
      </w:r>
      <w:r>
        <w:rPr>
          <w:b/>
          <w:i w:val="0"/>
          <w:smallCaps w:val="0"/>
          <w:strike w:val="0"/>
          <w:sz w:val="24"/>
          <w:u w:val="single"/>
        </w:rPr>
        <w:t>deadly pandemic</w:t>
      </w:r>
      <w:r>
        <w:rPr>
          <w:b w:val="0"/>
          <w:i w:val="0"/>
          <w:smallCaps w:val="0"/>
          <w:strike w:val="0"/>
          <w:sz w:val="16"/>
          <w:u w:val="none"/>
        </w:rPr>
        <w:t xml:space="preserve">. And experts, policymakers, and scholars often search out the sources of vulnerability in relatively recent changes in the structure of our collective existence. </w:t>
      </w:r>
      <w:r>
        <w:rPr>
          <w:b w:val="0"/>
          <w:i w:val="0"/>
          <w:smallCaps w:val="0"/>
          <w:strike w:val="0"/>
          <w:sz w:val="22"/>
          <w:u w:val="single"/>
        </w:rPr>
        <w:t>Intensifying global flows</w:t>
      </w:r>
      <w:r>
        <w:rPr>
          <w:b w:val="0"/>
          <w:i w:val="0"/>
          <w:smallCaps w:val="0"/>
          <w:strike w:val="0"/>
          <w:sz w:val="16"/>
          <w:u w:val="none"/>
        </w:rPr>
        <w:t xml:space="preserve"> of people, goods, and capital, they argue, </w:t>
      </w:r>
      <w:r>
        <w:rPr>
          <w:b w:val="0"/>
          <w:i w:val="0"/>
          <w:smallCaps w:val="0"/>
          <w:strike w:val="0"/>
          <w:sz w:val="22"/>
          <w:u w:val="single"/>
        </w:rPr>
        <w:t xml:space="preserve">make our world </w:t>
      </w:r>
      <w:r>
        <w:rPr>
          <w:b/>
          <w:i w:val="0"/>
          <w:smallCaps w:val="0"/>
          <w:strike w:val="0"/>
          <w:sz w:val="24"/>
          <w:u w:val="single"/>
        </w:rPr>
        <w:t>increasingly interdependent</w:t>
      </w:r>
      <w:r>
        <w:rPr>
          <w:b w:val="0"/>
          <w:i w:val="0"/>
          <w:smallCaps w:val="0"/>
          <w:strike w:val="0"/>
          <w:sz w:val="22"/>
          <w:u w:val="single"/>
        </w:rPr>
        <w:t xml:space="preserve"> and</w:t>
      </w:r>
      <w:r>
        <w:rPr>
          <w:b w:val="0"/>
          <w:i w:val="0"/>
          <w:smallCaps w:val="0"/>
          <w:strike w:val="0"/>
          <w:sz w:val="16"/>
          <w:u w:val="none"/>
        </w:rPr>
        <w:t xml:space="preserve"> therefore </w:t>
      </w:r>
      <w:r>
        <w:rPr>
          <w:b w:val="0"/>
          <w:i w:val="0"/>
          <w:smallCaps w:val="0"/>
          <w:strike w:val="0"/>
          <w:sz w:val="22"/>
          <w:u w:val="single"/>
        </w:rPr>
        <w:t xml:space="preserve">subject to </w:t>
      </w:r>
      <w:r>
        <w:rPr>
          <w:b/>
          <w:i w:val="0"/>
          <w:smallCaps w:val="0"/>
          <w:strike w:val="0"/>
          <w:sz w:val="24"/>
          <w:u w:val="single"/>
        </w:rPr>
        <w:t>sudden disruptions</w:t>
      </w:r>
      <w:r>
        <w:rPr>
          <w:b w:val="0"/>
          <w:i w:val="0"/>
          <w:smallCaps w:val="0"/>
          <w:strike w:val="0"/>
          <w:sz w:val="22"/>
          <w:u w:val="single"/>
        </w:rPr>
        <w:t xml:space="preserve"> that </w:t>
      </w:r>
      <w:r>
        <w:rPr>
          <w:b/>
          <w:i w:val="0"/>
          <w:smallCaps w:val="0"/>
          <w:strike w:val="0"/>
          <w:sz w:val="24"/>
          <w:u w:val="single"/>
        </w:rPr>
        <w:t>spread</w:t>
      </w:r>
      <w:r>
        <w:rPr>
          <w:b w:val="0"/>
          <w:i w:val="0"/>
          <w:smallCaps w:val="0"/>
          <w:strike w:val="0"/>
          <w:sz w:val="16"/>
          <w:u w:val="none"/>
        </w:rPr>
        <w:t xml:space="preserve"> through financial systems, electricity grids, information networks, or human bodies in rapid circulation and close proximity.2 But there is another way to think about our vulnerable world. Rather than taking vulnerability for granted as a category of understanding—and investigating how our vulnerability became so acute and pervasive—we can ask how it became possible to think about our world in this way in the first place. More specifically, we can ask how we came to think of our world in terms of a particular kind of vulnerability. When did government first become concerned </w:t>
      </w:r>
      <w:r>
        <w:rPr>
          <w:b w:val="0"/>
          <w:i w:val="0"/>
          <w:smallCaps w:val="0"/>
          <w:strike w:val="0"/>
          <w:sz w:val="22"/>
          <w:u w:val="single"/>
        </w:rPr>
        <w:t>with the disruption</w:t>
      </w:r>
      <w:r>
        <w:rPr>
          <w:b w:val="0"/>
          <w:i w:val="0"/>
          <w:smallCaps w:val="0"/>
          <w:strike w:val="0"/>
          <w:sz w:val="16"/>
          <w:u w:val="none"/>
        </w:rPr>
        <w:t xml:space="preserve"> or breakdown </w:t>
      </w:r>
      <w:r>
        <w:rPr>
          <w:b w:val="0"/>
          <w:i w:val="0"/>
          <w:smallCaps w:val="0"/>
          <w:strike w:val="0"/>
          <w:sz w:val="22"/>
          <w:u w:val="single"/>
        </w:rPr>
        <w:t xml:space="preserve">of </w:t>
      </w:r>
      <w:r>
        <w:rPr>
          <w:b/>
          <w:i w:val="0"/>
          <w:smallCaps w:val="0"/>
          <w:strike w:val="0"/>
          <w:sz w:val="24"/>
          <w:u w:val="single"/>
        </w:rPr>
        <w:t>life-sustaining</w:t>
      </w:r>
      <w:r>
        <w:rPr>
          <w:b w:val="0"/>
          <w:i w:val="0"/>
          <w:smallCaps w:val="0"/>
          <w:strike w:val="0"/>
          <w:sz w:val="22"/>
          <w:u w:val="single"/>
        </w:rPr>
        <w:t xml:space="preserve"> vital systems</w:t>
      </w:r>
      <w:r>
        <w:rPr>
          <w:b w:val="0"/>
          <w:i w:val="0"/>
          <w:smallCaps w:val="0"/>
          <w:strike w:val="0"/>
          <w:sz w:val="16"/>
          <w:u w:val="none"/>
        </w:rPr>
        <w:t>? For what purposes were the techniques that, today, generate such an extraordinary profusion of evidence about our vulnerability originally invented? How did norms such as resilience and preparedness become political obligations, to which policymakers and officials are held accountable?</w:t>
      </w:r>
    </w:p>
    <w:p>
      <w:pPr>
        <w:spacing w:after="60"/>
      </w:pPr>
      <w:r>
        <w:rPr>
          <w:b w:val="0"/>
          <w:i w:val="0"/>
          <w:smallCaps w:val="0"/>
          <w:strike w:val="0"/>
          <w:sz w:val="16"/>
          <w:u w:val="none"/>
        </w:rPr>
        <w:t xml:space="preserve">The Government of Emergency addresses these questions by turning to a period of American history in which this distinctive and now mostly taken-for- granted way of thinking about vulnerability was just taking shape. In the middle decades of the twentieth century, amid the Great Depression, World War II, and the Cold War, an array of technical experts and </w:t>
      </w:r>
      <w:r>
        <w:rPr>
          <w:b w:val="0"/>
          <w:i w:val="0"/>
          <w:smallCaps w:val="0"/>
          <w:strike w:val="0"/>
          <w:sz w:val="22"/>
          <w:u w:val="single"/>
        </w:rPr>
        <w:t>government officials</w:t>
      </w:r>
      <w:r>
        <w:rPr>
          <w:b w:val="0"/>
          <w:i w:val="0"/>
          <w:smallCaps w:val="0"/>
          <w:strike w:val="0"/>
          <w:sz w:val="16"/>
          <w:u w:val="none"/>
        </w:rPr>
        <w:t xml:space="preserve"> developed a new understanding of the United States as a complex of vulnerable, vital systems. They also </w:t>
      </w:r>
      <w:r>
        <w:rPr>
          <w:b w:val="0"/>
          <w:i w:val="0"/>
          <w:smallCaps w:val="0"/>
          <w:strike w:val="0"/>
          <w:sz w:val="22"/>
          <w:u w:val="single"/>
        </w:rPr>
        <w:t>invented</w:t>
      </w:r>
      <w:r>
        <w:rPr>
          <w:b w:val="0"/>
          <w:i w:val="0"/>
          <w:smallCaps w:val="0"/>
          <w:strike w:val="0"/>
          <w:sz w:val="16"/>
          <w:u w:val="none"/>
        </w:rPr>
        <w:t xml:space="preserve"> technical and </w:t>
      </w:r>
      <w:r>
        <w:rPr>
          <w:b w:val="0"/>
          <w:i w:val="0"/>
          <w:smallCaps w:val="0"/>
          <w:strike w:val="0"/>
          <w:sz w:val="22"/>
          <w:highlight w:val="cyan"/>
          <w:u w:val="single"/>
        </w:rPr>
        <w:t>administrative devices</w:t>
      </w:r>
      <w:r>
        <w:rPr>
          <w:b w:val="0"/>
          <w:i w:val="0"/>
          <w:smallCaps w:val="0"/>
          <w:strike w:val="0"/>
          <w:sz w:val="22"/>
          <w:u w:val="single"/>
        </w:rPr>
        <w:t xml:space="preserve"> to </w:t>
      </w:r>
      <w:r>
        <w:rPr>
          <w:b/>
          <w:i w:val="0"/>
          <w:smallCaps w:val="0"/>
          <w:strike w:val="0"/>
          <w:sz w:val="24"/>
          <w:highlight w:val="cyan"/>
          <w:u w:val="single"/>
        </w:rPr>
        <w:t>mitigate</w:t>
      </w:r>
      <w:r>
        <w:rPr>
          <w:b w:val="0"/>
          <w:i w:val="0"/>
          <w:smallCaps w:val="0"/>
          <w:strike w:val="0"/>
          <w:sz w:val="16"/>
          <w:u w:val="none"/>
        </w:rPr>
        <w:t xml:space="preserve"> the nation’s </w:t>
      </w:r>
      <w:r>
        <w:rPr>
          <w:b/>
          <w:i w:val="0"/>
          <w:smallCaps w:val="0"/>
          <w:strike w:val="0"/>
          <w:sz w:val="24"/>
          <w:highlight w:val="cyan"/>
          <w:u w:val="single"/>
        </w:rPr>
        <w:t>vulnerability</w:t>
      </w:r>
      <w:r>
        <w:rPr>
          <w:b w:val="0"/>
          <w:i w:val="0"/>
          <w:smallCaps w:val="0"/>
          <w:strike w:val="0"/>
          <w:sz w:val="22"/>
          <w:u w:val="single"/>
        </w:rPr>
        <w:t>, as well as organizing</w:t>
      </w:r>
      <w:r>
        <w:rPr>
          <w:b w:val="0"/>
          <w:i w:val="0"/>
          <w:smallCaps w:val="0"/>
          <w:strike w:val="0"/>
          <w:sz w:val="16"/>
          <w:u w:val="none"/>
        </w:rPr>
        <w:t xml:space="preserve"> a distinctive form of emergency government designed </w:t>
      </w:r>
      <w:r>
        <w:rPr>
          <w:b w:val="0"/>
          <w:i w:val="0"/>
          <w:smallCaps w:val="0"/>
          <w:strike w:val="0"/>
          <w:sz w:val="22"/>
          <w:u w:val="single"/>
        </w:rPr>
        <w:t xml:space="preserve">to prepare for </w:t>
      </w:r>
      <w:r>
        <w:rPr>
          <w:b/>
          <w:i w:val="0"/>
          <w:smallCaps w:val="0"/>
          <w:strike w:val="0"/>
          <w:sz w:val="24"/>
          <w:u w:val="single"/>
        </w:rPr>
        <w:t>uncertain future events</w:t>
      </w:r>
      <w:r>
        <w:rPr>
          <w:b w:val="0"/>
          <w:i w:val="0"/>
          <w:smallCaps w:val="0"/>
          <w:strike w:val="0"/>
          <w:sz w:val="22"/>
          <w:u w:val="single"/>
        </w:rPr>
        <w:t xml:space="preserve"> that might </w:t>
      </w:r>
      <w:r>
        <w:rPr>
          <w:b/>
          <w:i w:val="0"/>
          <w:smallCaps w:val="0"/>
          <w:strike w:val="0"/>
          <w:sz w:val="24"/>
          <w:u w:val="single"/>
        </w:rPr>
        <w:t>catastrophically disrupt</w:t>
      </w:r>
      <w:r>
        <w:rPr>
          <w:b w:val="0"/>
          <w:i w:val="0"/>
          <w:smallCaps w:val="0"/>
          <w:strike w:val="0"/>
          <w:sz w:val="22"/>
          <w:u w:val="single"/>
        </w:rPr>
        <w:t xml:space="preserve"> these systems</w:t>
      </w:r>
      <w:r>
        <w:rPr>
          <w:b w:val="0"/>
          <w:i w:val="0"/>
          <w:smallCaps w:val="0"/>
          <w:strike w:val="0"/>
          <w:sz w:val="16"/>
          <w:u w:val="none"/>
        </w:rPr>
        <w:t xml:space="preserve">. In doing so, </w:t>
      </w:r>
      <w:r>
        <w:rPr>
          <w:b w:val="0"/>
          <w:i w:val="0"/>
          <w:smallCaps w:val="0"/>
          <w:strike w:val="0"/>
          <w:sz w:val="16"/>
          <w:u w:val="none"/>
        </w:rPr>
        <w:t>these experts and officials did not, of course, solve the problem of vulnerability. Quite the contrary, they defined vulnerability as a particular kind of problem with which today’s experts, officials, policymakers, and emergency managers are still grappling.</w:t>
      </w:r>
    </w:p>
    <w:p>
      <w:pPr>
        <w:spacing w:after="60"/>
      </w:pPr>
      <w:r>
        <w:rPr>
          <w:b w:val="0"/>
          <w:i w:val="0"/>
          <w:smallCaps w:val="0"/>
          <w:strike w:val="0"/>
          <w:sz w:val="16"/>
          <w:u w:val="none"/>
        </w:rPr>
        <w:t>——</w:t>
      </w:r>
    </w:p>
    <w:p>
      <w:pPr>
        <w:spacing w:after="60"/>
      </w:pPr>
      <w:r>
        <w:rPr>
          <w:b w:val="0"/>
          <w:i w:val="0"/>
          <w:smallCaps w:val="0"/>
          <w:strike w:val="0"/>
          <w:sz w:val="16"/>
          <w:u w:val="none"/>
        </w:rPr>
        <w:t>Our interest in these topics was initially sparked by the aftermath—at once troubling and disorienting—of the terrorist attacks of September 11, 2001. The most visible and controversial response by the federal government to these attacks was a series of aggressive security policies identified with the “war on terror.” External security measures taken in the wake of the September 11 attacks included preemptive wars in Afghanistan and Iraq, drone strikes on suspected terrorist cells, and extrajudicial detentions, most notoriously in the prison complex at Guantanamo Bay. Domestically, new security measures included heightened border controls, domestic surveillance, and steps to protect large cities and transportation networks against attack. Many of these domestic measures were associated with a new federal agency, established soon after the attacks of 9/11, with an unfamiliar and Orwellian name: the Department of Homeland Security.</w:t>
      </w:r>
    </w:p>
    <w:p>
      <w:pPr>
        <w:spacing w:after="60"/>
      </w:pPr>
      <w:r>
        <w:rPr>
          <w:b w:val="0"/>
          <w:i w:val="0"/>
          <w:smallCaps w:val="0"/>
          <w:strike w:val="0"/>
          <w:sz w:val="16"/>
          <w:u w:val="none"/>
        </w:rPr>
        <w:t>At one level, these new security measures challenged familiar conceptions of security. Externally, the focus of military and intelligence organizations on terrorist groups and other nonstate actors seemed distinct from the traditional framework of national security, related to struggles among sovereign states. Meanwhile, new domestic policies pointed to an ominous “securitization” of civilian life, with totalitarian overtones. In another sense, however, these widely discussed elements of the “war on terror” fit relatively comfortably with familiar understandings of security. These measures sought to identify and interdict enemies of the United States, employing traditional means of intelligence, surveillance, military force, border control, and policing.</w:t>
      </w:r>
    </w:p>
    <w:p>
      <w:pPr>
        <w:spacing w:after="60"/>
      </w:pPr>
      <w:r>
        <w:rPr>
          <w:b w:val="0"/>
          <w:i w:val="0"/>
          <w:smallCaps w:val="0"/>
          <w:strike w:val="0"/>
          <w:sz w:val="16"/>
          <w:u w:val="none"/>
        </w:rPr>
        <w:t xml:space="preserve">But beneath the surface of these highly visible and contested measures, a different formation of contemporary security was consolidating. Its contours could be glimpsed by perusing the plans and strategic </w:t>
      </w:r>
      <w:r>
        <w:rPr>
          <w:b w:val="0"/>
          <w:i w:val="0"/>
          <w:smallCaps w:val="0"/>
          <w:strike w:val="0"/>
          <w:sz w:val="22"/>
          <w:u w:val="single"/>
        </w:rPr>
        <w:t>statements on</w:t>
      </w:r>
      <w:r>
        <w:rPr>
          <w:b w:val="0"/>
          <w:i w:val="0"/>
          <w:smallCaps w:val="0"/>
          <w:strike w:val="0"/>
          <w:sz w:val="16"/>
          <w:u w:val="none"/>
        </w:rPr>
        <w:t xml:space="preserve"> problems such as “national preparedness” and “critical infrastructure protection” issued by the president, the </w:t>
      </w:r>
      <w:r>
        <w:rPr>
          <w:b/>
          <w:i w:val="0"/>
          <w:smallCaps w:val="0"/>
          <w:strike w:val="0"/>
          <w:sz w:val="24"/>
          <w:u w:val="single"/>
        </w:rPr>
        <w:t>D</w:t>
      </w:r>
      <w:r>
        <w:rPr>
          <w:b w:val="0"/>
          <w:i w:val="0"/>
          <w:smallCaps w:val="0"/>
          <w:strike w:val="0"/>
          <w:sz w:val="16"/>
          <w:u w:val="none"/>
        </w:rPr>
        <w:t xml:space="preserve">epartment of </w:t>
      </w:r>
      <w:r>
        <w:rPr>
          <w:b/>
          <w:i w:val="0"/>
          <w:smallCaps w:val="0"/>
          <w:strike w:val="0"/>
          <w:sz w:val="24"/>
          <w:u w:val="single"/>
        </w:rPr>
        <w:t>H</w:t>
      </w:r>
      <w:r>
        <w:rPr>
          <w:b w:val="0"/>
          <w:i w:val="0"/>
          <w:smallCaps w:val="0"/>
          <w:strike w:val="0"/>
          <w:sz w:val="16"/>
          <w:u w:val="none"/>
        </w:rPr>
        <w:t xml:space="preserve">omeland </w:t>
      </w:r>
      <w:r>
        <w:rPr>
          <w:b/>
          <w:i w:val="0"/>
          <w:smallCaps w:val="0"/>
          <w:strike w:val="0"/>
          <w:sz w:val="24"/>
          <w:u w:val="single"/>
        </w:rPr>
        <w:t>S</w:t>
      </w:r>
      <w:r>
        <w:rPr>
          <w:b w:val="0"/>
          <w:i w:val="0"/>
          <w:smallCaps w:val="0"/>
          <w:strike w:val="0"/>
          <w:sz w:val="16"/>
          <w:u w:val="none"/>
        </w:rPr>
        <w:t xml:space="preserve">ecurity, the Department of </w:t>
      </w:r>
      <w:r>
        <w:rPr>
          <w:b/>
          <w:i w:val="0"/>
          <w:smallCaps w:val="0"/>
          <w:strike w:val="0"/>
          <w:sz w:val="24"/>
          <w:u w:val="single"/>
        </w:rPr>
        <w:t>H</w:t>
      </w:r>
      <w:r>
        <w:rPr>
          <w:b w:val="0"/>
          <w:i w:val="0"/>
          <w:smallCaps w:val="0"/>
          <w:strike w:val="0"/>
          <w:sz w:val="16"/>
          <w:u w:val="none"/>
        </w:rPr>
        <w:t xml:space="preserve">ealth and </w:t>
      </w:r>
      <w:r>
        <w:rPr>
          <w:b/>
          <w:i w:val="0"/>
          <w:smallCaps w:val="0"/>
          <w:strike w:val="0"/>
          <w:sz w:val="24"/>
          <w:u w:val="single"/>
        </w:rPr>
        <w:t>H</w:t>
      </w:r>
      <w:r>
        <w:rPr>
          <w:b w:val="0"/>
          <w:i w:val="0"/>
          <w:smallCaps w:val="0"/>
          <w:strike w:val="0"/>
          <w:sz w:val="16"/>
          <w:u w:val="none"/>
        </w:rPr>
        <w:t xml:space="preserve">uman </w:t>
      </w:r>
      <w:r>
        <w:rPr>
          <w:b/>
          <w:i w:val="0"/>
          <w:smallCaps w:val="0"/>
          <w:strike w:val="0"/>
          <w:sz w:val="24"/>
          <w:u w:val="single"/>
        </w:rPr>
        <w:t>S</w:t>
      </w:r>
      <w:r>
        <w:rPr>
          <w:b w:val="0"/>
          <w:i w:val="0"/>
          <w:smallCaps w:val="0"/>
          <w:strike w:val="0"/>
          <w:sz w:val="16"/>
          <w:u w:val="none"/>
        </w:rPr>
        <w:t xml:space="preserve">ervices, </w:t>
      </w:r>
      <w:r>
        <w:rPr>
          <w:b w:val="0"/>
          <w:i w:val="0"/>
          <w:smallCaps w:val="0"/>
          <w:strike w:val="0"/>
          <w:sz w:val="22"/>
          <w:u w:val="single"/>
        </w:rPr>
        <w:t xml:space="preserve">and other parts of the US government </w:t>
      </w:r>
      <w:r>
        <w:rPr>
          <w:b w:val="0"/>
          <w:i w:val="0"/>
          <w:smallCaps w:val="0"/>
          <w:strike w:val="0"/>
          <w:sz w:val="16"/>
          <w:u w:val="none"/>
        </w:rPr>
        <w:t xml:space="preserve">in the years after 2001. The key norm articulated in these statements was not the deterrence, interdiction, capture, or defeat of an enemy. Rather, these statements </w:t>
      </w:r>
      <w:r>
        <w:rPr>
          <w:b w:val="0"/>
          <w:i w:val="0"/>
          <w:smallCaps w:val="0"/>
          <w:strike w:val="0"/>
          <w:sz w:val="22"/>
          <w:highlight w:val="cyan"/>
          <w:u w:val="single"/>
        </w:rPr>
        <w:t>laid out</w:t>
      </w:r>
      <w:r>
        <w:rPr>
          <w:b w:val="0"/>
          <w:i w:val="0"/>
          <w:smallCaps w:val="0"/>
          <w:strike w:val="0"/>
          <w:sz w:val="22"/>
          <w:u w:val="single"/>
        </w:rPr>
        <w:t xml:space="preserve"> a </w:t>
      </w:r>
      <w:r>
        <w:rPr>
          <w:b w:val="0"/>
          <w:i w:val="0"/>
          <w:smallCaps w:val="0"/>
          <w:strike w:val="0"/>
          <w:sz w:val="22"/>
          <w:highlight w:val="cyan"/>
          <w:u w:val="single"/>
        </w:rPr>
        <w:t xml:space="preserve">strategy of </w:t>
      </w:r>
      <w:r>
        <w:rPr>
          <w:b/>
          <w:i w:val="0"/>
          <w:smallCaps w:val="0"/>
          <w:strike w:val="0"/>
          <w:sz w:val="24"/>
          <w:highlight w:val="cyan"/>
          <w:u w:val="single"/>
        </w:rPr>
        <w:t>preparedness</w:t>
      </w:r>
      <w:r>
        <w:rPr>
          <w:b w:val="0"/>
          <w:i w:val="0"/>
          <w:smallCaps w:val="0"/>
          <w:strike w:val="0"/>
          <w:sz w:val="22"/>
          <w:highlight w:val="cyan"/>
          <w:u w:val="single"/>
        </w:rPr>
        <w:t xml:space="preserve"> for</w:t>
      </w:r>
      <w:r>
        <w:rPr>
          <w:b w:val="0"/>
          <w:i w:val="0"/>
          <w:smallCaps w:val="0"/>
          <w:strike w:val="0"/>
          <w:sz w:val="22"/>
          <w:u w:val="single"/>
        </w:rPr>
        <w:t xml:space="preserve"> a </w:t>
      </w:r>
      <w:r>
        <w:rPr>
          <w:b/>
          <w:i w:val="0"/>
          <w:smallCaps w:val="0"/>
          <w:strike w:val="0"/>
          <w:sz w:val="24"/>
          <w:u w:val="single"/>
        </w:rPr>
        <w:t>range</w:t>
      </w:r>
      <w:r>
        <w:rPr>
          <w:b w:val="0"/>
          <w:i w:val="0"/>
          <w:smallCaps w:val="0"/>
          <w:strike w:val="0"/>
          <w:sz w:val="22"/>
          <w:u w:val="single"/>
        </w:rPr>
        <w:t xml:space="preserve"> of </w:t>
      </w:r>
      <w:r>
        <w:rPr>
          <w:b/>
          <w:i w:val="0"/>
          <w:smallCaps w:val="0"/>
          <w:strike w:val="0"/>
          <w:sz w:val="24"/>
          <w:u w:val="single"/>
        </w:rPr>
        <w:t>uncertain future events</w:t>
      </w:r>
      <w:r>
        <w:rPr>
          <w:b w:val="0"/>
          <w:i w:val="0"/>
          <w:smallCaps w:val="0"/>
          <w:strike w:val="0"/>
          <w:sz w:val="22"/>
          <w:u w:val="single"/>
        </w:rPr>
        <w:t xml:space="preserve">—from natural </w:t>
      </w:r>
      <w:r>
        <w:rPr>
          <w:b/>
          <w:i w:val="0"/>
          <w:smallCaps w:val="0"/>
          <w:strike w:val="0"/>
          <w:sz w:val="24"/>
          <w:highlight w:val="cyan"/>
          <w:u w:val="single"/>
        </w:rPr>
        <w:t>disasters</w:t>
      </w:r>
      <w:r>
        <w:rPr>
          <w:b w:val="0"/>
          <w:i w:val="0"/>
          <w:smallCaps w:val="0"/>
          <w:strike w:val="0"/>
          <w:sz w:val="22"/>
          <w:u w:val="single"/>
        </w:rPr>
        <w:t xml:space="preserve"> to </w:t>
      </w:r>
      <w:r>
        <w:rPr>
          <w:b/>
          <w:i w:val="0"/>
          <w:smallCaps w:val="0"/>
          <w:strike w:val="0"/>
          <w:sz w:val="24"/>
          <w:u w:val="single"/>
        </w:rPr>
        <w:t>disease</w:t>
      </w:r>
      <w:r>
        <w:rPr>
          <w:b w:val="0"/>
          <w:i w:val="0"/>
          <w:smallCaps w:val="0"/>
          <w:strike w:val="0"/>
          <w:sz w:val="22"/>
          <w:u w:val="single"/>
        </w:rPr>
        <w:t xml:space="preserve"> outbreaks, </w:t>
      </w:r>
      <w:r>
        <w:rPr>
          <w:b/>
          <w:i w:val="0"/>
          <w:smallCaps w:val="0"/>
          <w:strike w:val="0"/>
          <w:sz w:val="24"/>
          <w:highlight w:val="cyan"/>
          <w:u w:val="single"/>
        </w:rPr>
        <w:t>blackouts</w:t>
      </w:r>
      <w:r>
        <w:rPr>
          <w:b w:val="0"/>
          <w:i w:val="0"/>
          <w:smallCaps w:val="0"/>
          <w:strike w:val="0"/>
          <w:sz w:val="22"/>
          <w:u w:val="single"/>
        </w:rPr>
        <w:t xml:space="preserve">, and </w:t>
      </w:r>
      <w:r>
        <w:rPr>
          <w:b/>
          <w:i w:val="0"/>
          <w:smallCaps w:val="0"/>
          <w:strike w:val="0"/>
          <w:sz w:val="24"/>
          <w:highlight w:val="cyan"/>
          <w:u w:val="single"/>
        </w:rPr>
        <w:t>terror</w:t>
      </w:r>
      <w:r>
        <w:rPr>
          <w:b/>
          <w:i w:val="0"/>
          <w:smallCaps w:val="0"/>
          <w:strike w:val="0"/>
          <w:sz w:val="24"/>
          <w:u w:val="single"/>
        </w:rPr>
        <w:t xml:space="preserve">ist </w:t>
      </w:r>
      <w:r>
        <w:rPr>
          <w:b/>
          <w:i w:val="0"/>
          <w:smallCaps w:val="0"/>
          <w:strike w:val="0"/>
          <w:sz w:val="24"/>
          <w:highlight w:val="cyan"/>
          <w:u w:val="single"/>
        </w:rPr>
        <w:t>attacks</w:t>
      </w:r>
      <w:r>
        <w:rPr>
          <w:b w:val="0"/>
          <w:i w:val="0"/>
          <w:smallCaps w:val="0"/>
          <w:strike w:val="0"/>
          <w:sz w:val="22"/>
          <w:u w:val="single"/>
        </w:rPr>
        <w:t xml:space="preserve">—that threatened to </w:t>
      </w:r>
      <w:r>
        <w:rPr>
          <w:b/>
          <w:i w:val="0"/>
          <w:smallCaps w:val="0"/>
          <w:strike w:val="0"/>
          <w:sz w:val="24"/>
          <w:u w:val="single"/>
        </w:rPr>
        <w:t>disrupt</w:t>
      </w:r>
      <w:r>
        <w:rPr>
          <w:b w:val="0"/>
          <w:i w:val="0"/>
          <w:smallCaps w:val="0"/>
          <w:strike w:val="0"/>
          <w:sz w:val="22"/>
          <w:u w:val="single"/>
        </w:rPr>
        <w:t xml:space="preserve"> the </w:t>
      </w:r>
      <w:r>
        <w:rPr>
          <w:b/>
          <w:i w:val="0"/>
          <w:smallCaps w:val="0"/>
          <w:strike w:val="0"/>
          <w:sz w:val="24"/>
          <w:u w:val="single"/>
        </w:rPr>
        <w:t>vital systems</w:t>
      </w:r>
      <w:r>
        <w:rPr>
          <w:b w:val="0"/>
          <w:i w:val="0"/>
          <w:smallCaps w:val="0"/>
          <w:strike w:val="0"/>
          <w:sz w:val="22"/>
          <w:u w:val="single"/>
        </w:rPr>
        <w:t xml:space="preserve"> </w:t>
      </w:r>
      <w:r>
        <w:rPr>
          <w:b w:val="0"/>
          <w:i w:val="0"/>
          <w:smallCaps w:val="0"/>
          <w:strike w:val="0"/>
          <w:sz w:val="22"/>
          <w:u w:val="single"/>
        </w:rPr>
        <w:t xml:space="preserve">that </w:t>
      </w:r>
      <w:r>
        <w:rPr>
          <w:b/>
          <w:i w:val="0"/>
          <w:smallCaps w:val="0"/>
          <w:strike w:val="0"/>
          <w:sz w:val="24"/>
          <w:u w:val="single"/>
        </w:rPr>
        <w:t>make contemporary life possible</w:t>
      </w:r>
      <w:r>
        <w:rPr>
          <w:b w:val="0"/>
          <w:i w:val="0"/>
          <w:smallCaps w:val="0"/>
          <w:strike w:val="0"/>
          <w:sz w:val="22"/>
          <w:u w:val="single"/>
        </w:rPr>
        <w:t xml:space="preserve">. </w:t>
      </w:r>
      <w:r>
        <w:rPr>
          <w:b w:val="0"/>
          <w:i w:val="0"/>
          <w:smallCaps w:val="0"/>
          <w:strike w:val="0"/>
          <w:sz w:val="22"/>
          <w:highlight w:val="cyan"/>
          <w:u w:val="single"/>
        </w:rPr>
        <w:t>They drew on</w:t>
      </w:r>
      <w:r>
        <w:rPr>
          <w:b w:val="0"/>
          <w:i w:val="0"/>
          <w:smallCaps w:val="0"/>
          <w:strike w:val="0"/>
          <w:sz w:val="16"/>
          <w:u w:val="none"/>
        </w:rPr>
        <w:t xml:space="preserve"> forms of </w:t>
      </w:r>
      <w:r>
        <w:rPr>
          <w:b/>
          <w:i w:val="0"/>
          <w:smallCaps w:val="0"/>
          <w:strike w:val="0"/>
          <w:sz w:val="24"/>
          <w:u w:val="single"/>
        </w:rPr>
        <w:t>specialized</w:t>
      </w:r>
      <w:r>
        <w:rPr>
          <w:b/>
          <w:i w:val="0"/>
          <w:smallCaps w:val="0"/>
          <w:strike w:val="0"/>
          <w:sz w:val="24"/>
          <w:u w:val="single"/>
        </w:rPr>
        <w:t xml:space="preserve"> knowledge</w:t>
      </w:r>
      <w:r>
        <w:rPr>
          <w:b w:val="0"/>
          <w:i w:val="0"/>
          <w:smallCaps w:val="0"/>
          <w:strike w:val="0"/>
          <w:sz w:val="22"/>
          <w:u w:val="single"/>
        </w:rPr>
        <w:t xml:space="preserve"> and </w:t>
      </w:r>
      <w:r>
        <w:rPr>
          <w:b/>
          <w:i w:val="0"/>
          <w:smallCaps w:val="0"/>
          <w:strike w:val="0"/>
          <w:sz w:val="24"/>
          <w:highlight w:val="cyan"/>
          <w:u w:val="single"/>
        </w:rPr>
        <w:t>expert</w:t>
      </w:r>
      <w:r>
        <w:rPr>
          <w:b/>
          <w:i w:val="0"/>
          <w:smallCaps w:val="0"/>
          <w:strike w:val="0"/>
          <w:sz w:val="24"/>
          <w:u w:val="single"/>
        </w:rPr>
        <w:t xml:space="preserve"> assessment</w:t>
      </w:r>
      <w:r>
        <w:rPr>
          <w:b w:val="0"/>
          <w:i w:val="0"/>
          <w:smallCaps w:val="0"/>
          <w:strike w:val="0"/>
          <w:sz w:val="16"/>
          <w:u w:val="none"/>
        </w:rPr>
        <w:t xml:space="preserve"> that were quite different from those of domestic surveillance, foreign intelligence, and other approaches to understanding the plans and motivations of enemies. The evidence these documents adduced to assess vulnerability was produced by tools such as simulations of catastrophic events; scenario-based exercises to pinpoint gaps in preparedness plans; and evaluations of the “criticality” of particular facilities, such as ports, power plants, communication nodes, and transportation hubs. Finally, these statements of strategy proposed a distinctive set of preparedness measures: </w:t>
      </w:r>
      <w:r>
        <w:rPr>
          <w:b/>
          <w:i w:val="0"/>
          <w:smallCaps w:val="0"/>
          <w:strike w:val="0"/>
          <w:sz w:val="24"/>
          <w:u w:val="single"/>
        </w:rPr>
        <w:t>stockpiling</w:t>
      </w:r>
      <w:r>
        <w:rPr>
          <w:b w:val="0"/>
          <w:i w:val="0"/>
          <w:smallCaps w:val="0"/>
          <w:strike w:val="0"/>
          <w:sz w:val="22"/>
          <w:u w:val="single"/>
        </w:rPr>
        <w:t xml:space="preserve"> critical supplies; </w:t>
      </w:r>
      <w:r>
        <w:rPr>
          <w:b/>
          <w:i w:val="0"/>
          <w:smallCaps w:val="0"/>
          <w:strike w:val="0"/>
          <w:sz w:val="24"/>
          <w:u w:val="single"/>
        </w:rPr>
        <w:t>securing</w:t>
      </w:r>
      <w:r>
        <w:rPr>
          <w:b w:val="0"/>
          <w:i w:val="0"/>
          <w:smallCaps w:val="0"/>
          <w:strike w:val="0"/>
          <w:sz w:val="22"/>
          <w:u w:val="single"/>
        </w:rPr>
        <w:t xml:space="preserve"> vital facilities or creating </w:t>
      </w:r>
      <w:r>
        <w:rPr>
          <w:b/>
          <w:i w:val="0"/>
          <w:smallCaps w:val="0"/>
          <w:strike w:val="0"/>
          <w:sz w:val="24"/>
          <w:u w:val="single"/>
        </w:rPr>
        <w:t>redundant</w:t>
      </w:r>
      <w:r>
        <w:rPr>
          <w:b w:val="0"/>
          <w:i w:val="0"/>
          <w:smallCaps w:val="0"/>
          <w:strike w:val="0"/>
          <w:sz w:val="22"/>
          <w:u w:val="single"/>
        </w:rPr>
        <w:t xml:space="preserve"> facilities; improving </w:t>
      </w:r>
      <w:r>
        <w:rPr>
          <w:b/>
          <w:i w:val="0"/>
          <w:smallCaps w:val="0"/>
          <w:strike w:val="0"/>
          <w:sz w:val="24"/>
          <w:highlight w:val="cyan"/>
          <w:u w:val="single"/>
        </w:rPr>
        <w:t>coordination</w:t>
      </w:r>
      <w:r>
        <w:rPr>
          <w:b w:val="0"/>
          <w:i w:val="0"/>
          <w:smallCaps w:val="0"/>
          <w:strike w:val="0"/>
          <w:sz w:val="16"/>
          <w:u w:val="none"/>
        </w:rPr>
        <w:t xml:space="preserve"> among different parts of the federal government, and among federal, state, and local governments; and, perhaps above all, conducting more exercises to test readiness. The sudden consolidation of these norms, knowledge practices, and security measures was puzzling. Where had they developed and been cultivated before coming together so rapidly in new plans and practices?</w:t>
      </w:r>
    </w:p>
    <w:p>
      <w:pPr>
        <w:spacing w:after="60"/>
      </w:pPr>
      <w:r>
        <w:rPr>
          <w:b w:val="0"/>
          <w:i w:val="0"/>
          <w:smallCaps w:val="0"/>
          <w:strike w:val="0"/>
          <w:sz w:val="16"/>
          <w:u w:val="none"/>
        </w:rPr>
        <w:t>In 2005, two years after the creation of the Department of Homeland Security, these questions were cast into starker relief, and inflected in new ways, by another domestic catastrophe: Hurricane Katrina, which inundated the city of New Orleans. Like the attacks of September 11, Katrina was followed by rancorous debate and finger pointing. Much of the blame fell on the Federal Emergency Management Agency (FEMA). FEMA had borne responsibility for disaster preparedness and response in the federal government for almost thirty years. But by 2005, it was incorporated into the new Department of Homeland Security, whose emphasis on counterterrorism, some observers charged, had left the agency unprepared for a massive natural disaster.3 FEMA’s failure to organize a competent response to Katrina raised doubts about the federal government’s ability to prepare for a range of other disasters, such as the outbreak of a novel and dangerous infectious disease, a particularly acute concern for public health officials in 2005 given the reemergence of avian flu in Asia, one year earlier. 4 The failed response to Katrina also focused attention on the “distributed” structure of preparedness in the United States, which required complex coordination among local, state, and federal governments. This structure, too, had failed in spectacular fashion. Local governments proved poorly organized and ill equipped. State governments were unable to provide timely assistance.</w:t>
      </w:r>
    </w:p>
    <w:p>
      <w:pPr>
        <w:spacing w:after="60"/>
      </w:pPr>
      <w:r>
        <w:rPr>
          <w:b w:val="0"/>
          <w:i w:val="0"/>
          <w:smallCaps w:val="0"/>
          <w:strike w:val="0"/>
          <w:sz w:val="16"/>
          <w:u w:val="none"/>
        </w:rPr>
        <w:t>But amid the arguments about where the failure lay, and who was to blame, a basic diagnosis was universally accepted: the government had been unprepared to deal with an event like Katrina and was obliged, in the future, to bolster preparedness, not only for natural disasters but also for a range of other future catastrophes. Thus, more questions: Where did this peculiar American structure of distributed preparedness come from? Why would an agency charged with anticipating terrorism also be responsible for natural disaster preparedness? And how had this unquestioned political responsibility—to prepare for events like Katrina—initially been established and entrusted to such a peculiar and apparently precarious governmental arrangement?</w:t>
      </w:r>
    </w:p>
    <w:p>
      <w:pPr>
        <w:spacing w:after="60"/>
      </w:pPr>
      <w:r>
        <w:rPr>
          <w:b w:val="0"/>
          <w:i w:val="0"/>
          <w:smallCaps w:val="0"/>
          <w:strike w:val="0"/>
          <w:sz w:val="16"/>
          <w:u w:val="none"/>
        </w:rPr>
        <w:t>In a first stage of our research, we sought to address these questions by looking back to civil defense planning of the early Cold War.5 Cold War civil defense was in one sense quite different from contemporary emergency management. Its primary concern was not preparedness for natural disasters, pandemic disease, or terrorist attacks. Rather, civil defense focused on strengthening the preparedness of local governments, communities, and households for a nuclear attack on the United States.6 In another sense, however, the way civil defense planners identified problems and sought to address them was familiar: preparing to respond in the wake of a catastrophic event. Moreover, Cold War civil defense, particularly the Federal Civil Defense Administration (1950–1958), was a recognized part of the landscape of postwar history for scholars of American emergency management, who have identified it as the source of our current way of thinking about and organizing for emergencies.7</w:t>
      </w:r>
    </w:p>
    <w:p>
      <w:pPr>
        <w:spacing w:after="60"/>
      </w:pPr>
      <w:r>
        <w:rPr>
          <w:b w:val="0"/>
          <w:i w:val="0"/>
          <w:smallCaps w:val="0"/>
          <w:strike w:val="0"/>
          <w:sz w:val="16"/>
          <w:u w:val="none"/>
        </w:rPr>
        <w:t>But as our research proceeded, our attention was increasingly drawn to another history—adjacent to but distinct from the history of civil defense—that turned out to be more germane to our concerns. Initially, we encountered a forgotten federal government office, the Office of Emergency Preparedness, that in the 1960s was charged with addressing many of the problems that have become so urgent and visible at the beginning of the twenty-first century. 8 The central concern of this office was the vulnerability of vital systems, such as oil pipeline networks, electricity and communication grids, and systems of economic circulation. And it sought to develop methods for anticipating the effects of various kinds of events—terrorist attacks, economic shocks, industrial strikes—that might disrupt these systems, as well as techniques for planning and testing a governmental structure capable of rapid, coordinated response. Digging into the history of this office and its predecessors, we found ourselves on a track that ran parallel to the story of civil defense (see figure 0.1). It led us to the National Security Resources Board and the Office of Defense Mobilization, which were established not to carry out the now-familiar functions of emergency management but to prepare for military-industrial mobilization. In contrast to the well-studied history of civil defense, the activities of these organizations have been largely neglected in the scholarship on the history of emergency management and, indeed, in the broader scholarship on American political development in the middle of the twentieth century. And yet, from 1947 (when the National Security Resources Board was created by the National Security Act) to 1958 (when the Office of Defense Mobilization was combined with the Federal Civil Defense Administration), these were the organizations working on the central problem of emergency government: preparedness for a nuclear attack on the United States. As we show in the chapters that follow, experts and officials working in these now obscure offices shaped current understandings and practices related to the vulnerability of vital systems, preparedness for future catastrophes, and the organization of emergency government.</w:t>
      </w:r>
    </w:p>
    <w:p>
      <w:pPr>
        <w:spacing w:after="60"/>
      </w:pPr>
      <w:r>
        <w:rPr>
          <w:b w:val="0"/>
          <w:i w:val="0"/>
          <w:smallCaps w:val="0"/>
          <w:strike w:val="0"/>
          <w:sz w:val="16"/>
          <w:u w:val="none"/>
        </w:rPr>
        <w:t xml:space="preserve">Our research into the work of these mobilization planning offices opened up, in turn, a deeper history, which connected the history of emergency management in the United States to very different kinds of emergencies: the Great Depression and World War II. During these earlier episodes, we found, experts and officials working in domains such as mobilization planning, target selection for air war, and national economic planning developed new kinds of knowledge about flows of resources through the nation’s vital systems and their vulnerability to catastrophic disruption. These were also the circumstances in which </w:t>
      </w:r>
      <w:r>
        <w:rPr>
          <w:b w:val="0"/>
          <w:i w:val="0"/>
          <w:smallCaps w:val="0"/>
          <w:strike w:val="0"/>
          <w:sz w:val="22"/>
          <w:u w:val="single"/>
        </w:rPr>
        <w:t>government reformers assembled</w:t>
      </w:r>
      <w:r>
        <w:rPr>
          <w:b w:val="0"/>
          <w:i w:val="0"/>
          <w:smallCaps w:val="0"/>
          <w:strike w:val="0"/>
          <w:sz w:val="16"/>
          <w:u w:val="none"/>
        </w:rPr>
        <w:t xml:space="preserve"> the </w:t>
      </w:r>
      <w:r>
        <w:rPr>
          <w:b w:val="0"/>
          <w:i w:val="0"/>
          <w:smallCaps w:val="0"/>
          <w:strike w:val="0"/>
          <w:sz w:val="22"/>
          <w:u w:val="single"/>
        </w:rPr>
        <w:t>distinctive administrative and political mechanisms of</w:t>
      </w:r>
      <w:r>
        <w:rPr>
          <w:b w:val="0"/>
          <w:i w:val="0"/>
          <w:smallCaps w:val="0"/>
          <w:strike w:val="0"/>
          <w:sz w:val="16"/>
          <w:u w:val="none"/>
        </w:rPr>
        <w:t xml:space="preserve"> American </w:t>
      </w:r>
      <w:r>
        <w:rPr>
          <w:b w:val="0"/>
          <w:i w:val="0"/>
          <w:smallCaps w:val="0"/>
          <w:strike w:val="0"/>
          <w:sz w:val="22"/>
          <w:u w:val="single"/>
        </w:rPr>
        <w:t>emergency government, with</w:t>
      </w:r>
      <w:r>
        <w:rPr>
          <w:b w:val="0"/>
          <w:i w:val="0"/>
          <w:smallCaps w:val="0"/>
          <w:strike w:val="0"/>
          <w:sz w:val="16"/>
          <w:u w:val="none"/>
        </w:rPr>
        <w:t xml:space="preserve"> its small, centralized </w:t>
      </w:r>
      <w:r>
        <w:rPr>
          <w:b w:val="0"/>
          <w:i w:val="0"/>
          <w:smallCaps w:val="0"/>
          <w:strike w:val="0"/>
          <w:sz w:val="22"/>
          <w:highlight w:val="cyan"/>
          <w:u w:val="single"/>
        </w:rPr>
        <w:t>planning</w:t>
      </w:r>
      <w:r>
        <w:rPr>
          <w:b w:val="0"/>
          <w:i w:val="0"/>
          <w:smallCaps w:val="0"/>
          <w:strike w:val="0"/>
          <w:sz w:val="16"/>
          <w:u w:val="none"/>
        </w:rPr>
        <w:t xml:space="preserve"> offices (the ancestors of FEMA), its complex arrangements for </w:t>
      </w:r>
      <w:r>
        <w:rPr>
          <w:b w:val="0"/>
          <w:i w:val="0"/>
          <w:smallCaps w:val="0"/>
          <w:strike w:val="0"/>
          <w:sz w:val="22"/>
          <w:u w:val="single"/>
        </w:rPr>
        <w:t>distributed</w:t>
      </w:r>
      <w:r>
        <w:rPr>
          <w:b w:val="0"/>
          <w:i w:val="0"/>
          <w:smallCaps w:val="0"/>
          <w:strike w:val="0"/>
          <w:sz w:val="16"/>
          <w:u w:val="none"/>
        </w:rPr>
        <w:t xml:space="preserve"> preparedness </w:t>
      </w:r>
      <w:r>
        <w:rPr>
          <w:b w:val="0"/>
          <w:i w:val="0"/>
          <w:smallCaps w:val="0"/>
          <w:strike w:val="0"/>
          <w:sz w:val="22"/>
          <w:highlight w:val="cyan"/>
          <w:u w:val="single"/>
        </w:rPr>
        <w:t>across agencies</w:t>
      </w:r>
      <w:r>
        <w:rPr>
          <w:b w:val="0"/>
          <w:i w:val="0"/>
          <w:smallCaps w:val="0"/>
          <w:strike w:val="0"/>
          <w:sz w:val="22"/>
          <w:u w:val="single"/>
        </w:rPr>
        <w:t xml:space="preserve"> and governmental units</w:t>
      </w:r>
      <w:r>
        <w:rPr>
          <w:b w:val="0"/>
          <w:i w:val="0"/>
          <w:smallCaps w:val="0"/>
          <w:strike w:val="0"/>
          <w:sz w:val="16"/>
          <w:u w:val="none"/>
        </w:rPr>
        <w:t>, and its often-fraught accommodations between democratic norms, expert control, and strong executive authority to address crisis situations. Thus, in the unexpected settings of depression and world war, we encountered the now-familiar norms and forms of US emergency government taking shape.</w:t>
      </w:r>
    </w:p>
    <w:p>
      <w:pPr>
        <w:spacing w:after="60"/>
      </w:pPr>
      <w:r>
        <w:rPr>
          <w:b w:val="0"/>
          <w:i w:val="0"/>
          <w:smallCaps w:val="0"/>
          <w:strike w:val="0"/>
          <w:sz w:val="16"/>
          <w:u w:val="none"/>
        </w:rPr>
        <w:t>&lt;&lt;TEXT CONDENSED, NONE OMITTED&gt;&gt;</w:t>
      </w:r>
    </w:p>
    <w:p>
      <w:pPr>
        <w:spacing w:after="60"/>
      </w:pPr>
      <w:r>
        <w:rPr>
          <w:b w:val="0"/>
          <w:i w:val="0"/>
          <w:smallCaps w:val="0"/>
          <w:strike w:val="0"/>
          <w:u w:val="none"/>
        </w:rPr>
        <w:t>When we set out to write this book, we imagined that it would begin in the 1950s and move into the present, tracing how Cold War civil defense evolved into contemporary emergency management in its various guises of homeland security, pandemic preparedness, and natural disaster policy. But as this parallel history unfolded, the scope of our book shifted. What we had previously imagined would be the beginning of the story—nuclear pathways of American emergency government. Many of the practices and institutions of contemporary American emergency government emerged from little-studied offices such as the National Security Resources Board and the Office of Defense Mobilization. The history of these organizations points to largely unexplored genealogical connections between emergency government as we know it today and major midcentury episodes in the development of American political institutions. Credit: Janice Yamanaka-Lew. preparedness in the 1950s—became its endpoint. Our question changed as well. The book’s central concern was no longer the process through which nuclear preparedness expanded into preparedness for a range of other emergencies in the decades after the 1950s—a history that largely remains to be written. Instead, we traced how the knowledge practices, administrative devices, and governmental mechanisms originally invented to manage the emergencies of economic depression and world war were redirected to preparedness for uncertain future events that threaten vital systems. This shift in empirical focus went hand in hand with a shift in, and significant expansion of, the conceptual and historical problems with which we were grappling. In the United States and elsewhere, the problem of the vulnerability of vital systems to catastrophic disruption is coeval with—and is indeed a crucial element in—the history of industrial and urban modernity itself. Thus, the process through which system vulnerability became such a prevalent governmental concern, and such a dominant feature of our politics, can only be described as one dimension of the broader emergence of a mass industrial and metropolitan society in the United States during the first half of the twentieth century. It is also linked to a significant mutation in political institutions. In contending with the “emergencies” of the Great Depression, World War II, and the early Cold War—all of which were understood as existential crises that demanded exceptional government measures—political reformers created new mechanisms of expert rule and expanded executive power. Thus, in investigating the genealogy of system vulnerability, we also address the process through which, as political scientist Clinton Rossiter put it in 1949, US government was “adjusted in all its ramifications to the mounting stresses of a protean, outward-looking, industrial society.”9 — As we completed this book, governments around the world were struggling to respond to a global crisis. In early 2020, the coronavirus outbreak that began in China was spreading rapidly. As the first wave of the pandemic arrived in the United States, officials faced a daunting prospect: the onset of a deadly disease with no effective biomedical countermeasures at hand, and an immunologically naïve population. Experts rushed to identify bottlenecks in health systems, such as shortages of masks, testing reagents, and medical personnel, that would limit the number of patients that could be treated. Policymakers argued about how to procure scarce materials and establish priorities for the allocation of limited resources. Local officials sought to identify essential functions—medical services, critical infrastructure, and the production and distribution of food, for example—whose operation would need to be secured as stay-at- home orders were imposed across the country. Epidemiologists updated pandemic models to anticipate surges in cases in particular areas and to estimate the demand that such surges would make on health resources. Debates flared up about the distribution of responsibility between federal agencies and the president, and between the federal government and the states. As authorities sought to address multiplying breakdowns and bottlenecks in health systems, a distant episode of American history came to public attention. In spring 2020, Democratic lawmakers and a range of experts and interest groups urged then-president Donald Trump to draw on the emergency powers of the Defense Production Act to organize a forceful federal response to the pandemic. This Act, passed in 1950, gave the president authority to manage national economic resources in order to mobilize the industrial economy, initially for the Korean War.10 By the late 1950s, mobilization planners had laid plans to use Defense Production Act powers to manage an array of other problems— including massive nationwide medical response—that would arise in the aftermath of a large-scale nuclear attack on the United States. These plans addressed many of the issues that health officials and policymakers would face, over half a century later, in spring 2020: ensuring adequate production capacity of essential medical supplies through government loans and production agreements; securing vital inputs to such production through priorities ratings and allocation controls; and managing the distribution of scarce medical resources, including personnel, to meet a medical emergency unfolding across the country. The Trump administration made limited use of the Defense Production Act to procure items such as test kits and protective gear but was widely criticized for its unwillingness to employ it more expansively. “We’re at war,” proclaimed the former director of the Defense Production Act program division at the Federal Emergency Management Agency, “and the enemy is called Covid. The question is do we have the guts that our grandfathers had to mobilize the economy of the United States against the enemy.” 11 Upon taking office in January 2021, President Joseph Biden issued an executive order that outlined a broad use of the Defense Production Act’s emergency authorities. Priorities ratings would bolster vaccine manufacturers’ access to equipment such as filling pumps and filtration units required to ramp up production. Loans and purchase agreements would spur investment in domestic plants to manufacture surgical gloves, whose production in other countries had been constrained by shortages of a vital input: nitrile butadiene rubber. Officials contemplated similar actions, such as issuing loans and purchase agreements, to expand the production of at-home coronavirus tests, N95 masks, and other critical supplies.12 As we show in this book, the powers of priorities ratings, allocation control, emergency loans, and purchase agreements are not the only elements of the government response to the Covid-19 pandemic that have roots in the emergencies of the mid-twentieth century. Indeed, many dimensions of the response can be traced back to attempts to manage national resources and to ensure the operation of vital systems during these prior emergencies. Perhaps like no other event in the last seventy years, the Covid-19 pandemic has thrust these problems to the center of attention. But a range of current issues—most notably the intensifying disasters that will result from climate change—ensure that this largely neglected dimension of emergency government will be increasingly central to contemporary politics. ACKNOWLEDGMENTS This book would not have been possible without the intellectual engagement and support of innumerable friends, colleagues, collaborators, and family members. We are particularly grateful to Ben Anderson, Carlo Caduff, Craig Calhoun, David Collier, Ruth Berins Collier, Deborah Cowen, Savannah Cox, Tyler Curley, Myriam Dunn, Lyle Fearnley, Andreas Folkers, Nils Gilman, Kevin Grove, Anke Gruendel, Frédéric Keck, Chris Kelty, Clay Kerchoff, Eric Klinenberg, George Lakoff, Robin Tolmach Lakoff, Sandy Lakoff, Turo-Kimmo Lehtonen, Brian Lindseth, Sven Opitz, Onur Özgöde, Paul Rabinow, Peter Redfield, Janet Roitman, Antina von Schnitzler, and Antti Silvast. We are also grateful for support from the National Science Foundation under Grant no. 1058882, the Center for Advanced Study in the Behavioral Sciences, the Julien J. Studley Research Fund at The New School, and the Dean’s Office of the USC Dornsife College of Letters, Arts, and Sciences. INTRODUCTION The New Normalcy During the past twenty years we have substituted for the normalcy of the halcyon 1920s an almost unbroken series of emergencies: depression, defense, war, inflation, cold war. Indeed, emergency appears to have become the new kind of normalcy. National emergencies tend to favor improvisation by government. Yet with all our improvising, our “putting out of fires,” our apparent activation by events instead of deliberate activation of events, we have emerged with a discernible pattern of domestic and foreign policy and, most important, with an acceptance of the idea that government should consciously plan a strategy for anticipating and meeting domestic and foreign emergencies at the operational level. — JAMES FESLER, SPEECH TO THE INDUSTRIAL COLL EGE OF THE ARMED FORCES, SEPTEMBER 4, 1952 In 1954, the United States’ Industrial College of the Armed Forces (ICAF) published a massive multivolume tome, Emergency Management of the National Economy.1 The ICAF volumes collected a series of lectures that had been delivered to military officers at the college, as well as a range of government documents that addressed ICAF’s main concern: managing industrial mobilization for war. The fourth volume, dedicated to Principles of Administration, reproduced a lecture by political scientist James Fesler, a veteran of government reform during the New Deal and of mobilization planning during World War II.2 Looking back on the previous two tumultuous decades, Fesler observed that the United States had emerged from an “unbroken series of emergencies”—“ depression, defense, war, inflation, cold war”—with a “discernible pattern” of emergency government. Its hallmark was a new norm: “government should consciously plan a strategy for anticipating and meeting domestic and foreign emergencies at the operational level.” In the “new kind of normalcy” Fesler described, emergency government was no longer confined to exceptional situations. Rather, ongoing emergency preparedness had become a part of governmental routine. More than six decades later, it is taken for granted that government bears responsibility for continuously anticipating and preparing for emergencies. This assumption has been evident in efforts to assign blame and bolster readiness following disasters such as the terrorist attacks of September 11, 2001, Hurricanes Katrina and Sandy, and, most recently, the Covid-19 pandemic. It is noteworthy, then, that in 1952, when Fesler gave his lecture, this governmental norm was neither established nor taken for granted. Rather, it was new and required explicit statement and elaboration. It is also noteworthy that Fesler’s discussion addressed a set of problems and institutional contexts that seem distant from our contemporary understandings of emergency management. Today, government offices tasked with managing emergencies are concerned with preparedness for events such as natural disasters, disease outbreaks, and terrorist attacks, as well as with response and recovery in the aftermath of such events. But in 1952, the object of emergency management was the national economy, and its central aim was military-industrial mobilization—marshaling raw materials, industrial facilities, and manpower to build the tanks, planes, munitions, and other supplies necessary for total war. In this sense, Fesler’s speech points us to the specificity of the historical conjuncture during which new norms for managing emergencies were first articulated in the United States and were connected to forms of expert knowledge, administrative practices, and legal mechanisms. The topics addressed in Emergency Management of the National Economy suggest some of the issues that, in this now unfamiliar landscape, were initially clustered around emergency government: resource planning, economic controls, internal security, economic intelligence, air targeting, government reorganization, domestic vulnerability, and nonmilitary defense. And the government offices, commissions, and agencies whose work was either collected or discussed in the ICAF volumes—most long-since dissolved, and many virtually forgotten—provide a map of the institutional settings in which emergency government was addressed at this time. Among these were committees working on government reform and resource management during the New Deal; wartime and postwar mobilization planning offices; air-targeting and strategic intelligence units in the military; and offices of civil defense and domestic preparedness of the early Cold War.3 If Emergency Management of the National Economy situates the history of American emergency government in relation to economic management and military-industrial mobilization during the Great Depression and World War II, it also marks a point of inflection. In the early 1950s, emergency government was already in the process of becoming something different and, from our contemporary perspective, more familiar. In the foreword to the ICAF tome, another veteran of wartime mobilization planning, Arthur Flemming, described this new horizon of emergency government. At the time, Flemming was serving as director of the Office of Defense Mobilization (ODM). Created in 1950 to lead civilian mobilization planning for the Korean War, ODM had by 1953 become the most important domestic preparedness agency in the federal government. Surveying the landscape of the early Cold War, Flemming offered a grim assessment of the current world situation. The United States, he wrote, was in an “age of peril.” The advent of long-range bombers and atomic weapons confronted national security strategists with the specter of a sudden “devastating attack on the continental United States.” In the event of such a sudden attack, the United States would not have time to mobilize its “material and human resources” over the course of months or years, as it had in the prior two world wars. Rather, Flemming argued, the country would have to shift immediately to war footing and would be faced with managing the consequences of a crippling initial blow. Adequately preparing the nation for this eventuality could “save an untold number of human lives” and ensure that the United States could “continue a substantial portion of our war production and production essential for the holding together of our civilian economy.” 4 In light of these concerns about a devastating enemy attack, during the 1950s the civilian mobilization planning agencies turned their attention to a novel task. If earlier these agencies were concerned primarily with military-industrial production during a long war fought overseas, then increasingly their focus shifted to preparedness planning to ensure the survival of the national population and recovery of the economy in the aftermath of a domestic catastrophe. It is indicative of this shift that, by the early 1960s, the Office of Defense Mobilization had evolved into the Office of Emergency Planning, which was in turn renamed the Office of Emergency Preparedness. In 1962, the director of this office, Edward McDermott, outlined the aims and means of emergency government as they had come to be understood by this time. Citing a draft executive order issued by President John F. Kennedy, McDermott reported that he had been charged with coordinating the “national preparedness program,” whose goal was to maintain a “state of readiness with respect to all conditions of national emergency.” This meant, first and foremost, maintaining an “emergency management organization” that would be prepared to “handle the myriad of resource and economic problems necessary to save lives and sustain survival and expedite recovery.” Reviewing these “resource and economic problems”— related to electric power, transportation, communications, food, and medical care—McDermott pointed to the vast scope of his office’s concern. “We are really talking about the fundamentals of life on this earth,” he intoned, “the elemental problems of safeguarding the food we eat, the fuel we consume, the transportation to maintain a steady flow of commerce, an intricate telecommunications system which will continue to function under all conditions, and perhaps most important, the foundation of constitutional government which underpins our way of life.”5 In sum, the Office of Emergency Planning was charged with sustaining the very biological and associational life of the American population during a future emergency. In the decades since McDermott’s speech, practices for anticipating and managing emergencies have continued to evolve, and the organization of emergency government has been frequently reshuffled. But McDermott’s 1962 description of the task of governmental preparedness for emergency is strikingly similar to contemporary understandings. Emergency preparedness continues to focus on reducing the vulnerability of vital systems in anticipation of a range of potentially catastrophic future events, and on preparing for life-saving response and recovery in their aftermath. Thus, the Federal Emergency Management Agency’s 2015 National Preparedness Goal—which currently guides governmental preparedness for events ranging from terrorist attacks to hurricanes and pandemics—refers to a “secure and resilient Nation with the capabilities required across the whole community to prevent, protect against, mitigate, respond to, and recover from the threats and hazards that pose the greatest risk.” 6 The emphasis now, as in 1962, is on what the Department of Homeland Security’s 2017 guidance on critical infrastructure protection refers to as “the essential services that underpin American society and serve as the backbone of our nation’s economy, security, and health”; “the power we use in our homes, the water we drink, the transportation that moves us . . . and the communication systems we rely on.”7 Today, as in the early 1960s, emergency preparedness aims to ensure governmental functions relating to “health and safety,” “infrastructure systems,” “hydration, feeding, and sheltering,” that, in the wake of a future disaster, will be essential to “rapidly meeting basic human needs,” “restoring basic services,” “establishing a safe and secure environment,” and “supporting the transition to recovery.”8 And as has been true since the beginning of the postwar period, emergency government today is not an exception to the normal operation of the state. Rather, it encompasses the management of unfolding emergencies and ongoing preparedness for future emergency situations as permanent functions of normal government. A Genealogy of Emergency Government This book examines the formation of American emergency government in the middle decades of the twentieth century. It follows the process through which a governmental apparatus initially assembled to manage economic depression and industrial mobilization for war mutated into an apparatus of emergency preparedness for domestic catastrophe. The account presented in this book is a genealogy of emergency government that traces how now-familiar forms of knowledge, practices, and norms first came into being.9 It is only relatively recently, we suggest, that we have come to understand and organize emergency government as a matter of reducing the vulnerability of vital systems, and it is only recently that preparedness for events that might disrupt these systems has become a basic obligation of government. This genealogical approach to the study of emergency government can be usefully distinguished from histories of the field of disaster preparedness and emergency management, which follow the changing forms of knowledge and governance that have been applied to a certain class of phenomena—disasters. For example, in Acts of God, historian Ted Steinberg traces how the US government has understood and managed (or failed to manage) natural disasters such as floods, earthquakes, and storms, from the early days of the American republic to the present. 10 Scott Knowles, in The Disaster Experts, constructs what he calls a “disaster chronology” over roughly the same period, tracking how experts have made “the knowledge and control of disasters their special concern.”11 In contrast to such historical studies of disaster and disaster management, a genealogical approach asks how a range of seemingly disparate phenomena, from nuclear attacks and economic shocks to hurricanes and disease outbreaks, have been constituted as common types of events that present similar kinds of problems. Thus, the title of this book—The Government of Emergency—does not refer to the way that a pregiven class of events or situations has been governed. Rather, it refers to a form of political rationality, which we understand, following sociologist Nikolas Rose, as an “intellectual machinery or apparatus for rendering reality thinkable in such a way that it is amenable to political programming.”12 As Rose suggests, political rationalities have both normative and epistemological dimensions. On the one hand, a given political rationality entails specific assumptions about the “proper distribution of tasks between different authorities” and the “ideals or principles to which government should be addressed.” Thus, it implies certain presumptions (however contested and unstable) about what government is, what it should do, and what its limits should be. On the other hand, a political rationality involves a distinct “style of reasoning,” that is, a body of “intellectual techniques for rendering reality thinkable and practicable, and constituting domains that are amenable—or not amenable—to reformatory intervention.” Importantly, a style of reasoning entails specific “conceptions of the objects to be governed,” whether the national economy, the population, or the vulnerable, vital systems on which the economy and the population depend.13 One strategy of genealogical research is to paint a “before and after” picture that aims, as Ian Hacking has put it, “to permanently fix in the mind of the reader the fact that some upheaval has occurred”—a momentous shift in ways of thinking and governing.14 Our account is framed by such a conceptual and political “upheaval,” in which new objects, aims, and practices of government came into being over a relatively brief period. But we also present a detailed account of how this momentous shift unfolded. We focus on specific organizations and on historically situated actors as they took up existing ways of knowing and intervening, or invented new ones, to address novel problems. 15 Through these often-mundane practices, a new political rationality—and indeed, we suggest, a new dimension of political modernity—took shape over the period spanning roughly from the Great Depression through the early Cold War. The first part of the book examines the period from the 1930s to the early 1940s, in which the federal government faced two conditions of “national emergency”: the Great Depression and World War II. During this period, emergency government largely involved economic interventions to ameliorate the Depression and to manage industrial production for total war. Chapter 1 follows the work of experts in a succession of domains—from city and regional planning to economic management, wartime mobilization, and air targeting—as they constituted vital systems as objects of systematic knowledge and as targets of intervention. Chapter 2 describes a parallel process through which government reformers invented administrative devices and organizational forms to address the economic emergencies of depression and war. It focuses in particular on how these reformers addressed the tensions between liberal constitutionalism and crisis government by assembling what they called an “administrative machinery” to organize and prepare for emergency situations. The book’s second part is situated in the years immediately after World War II, a period of heightening concern about the prospect of an enemy attack on the continental United States that would cripple military-industrial production systems. Chapter 3 shows how civilian experts and military officers developed systematic knowledge about American economic and infrastructural vulnerability and devised practices and understandings that would constitute a new kind of expertise—and a new kind of expert, the “vulnerability specialist.”16 Chapter 4 turns to the first efforts to develop techniques for reducing this vulnerability and preparing to manage the consequences of a massive attack. It examines postwar mobilization planning agencies, where experts and officials reoriented the existing institutions and practices of emergency government. If previously these institutions had focused on economic management of the unfolding emergencies of depression and war, their objective now shifted to preparing for a future war. Emergency government was thus becoming a matter of ongoing peacetime preparedness.</w:t>
      </w:r>
    </w:p>
    <w:p>
      <w:pPr>
        <w:spacing w:after="60"/>
      </w:pPr>
      <w:r>
        <w:rPr>
          <w:b w:val="0"/>
          <w:i w:val="0"/>
          <w:smallCaps w:val="0"/>
          <w:strike w:val="0"/>
          <w:sz w:val="16"/>
          <w:u w:val="none"/>
        </w:rPr>
        <w:t>&lt;&lt;PARAGRAPH BREAKS RETURN&gt;&gt;</w:t>
      </w:r>
    </w:p>
    <w:p>
      <w:pPr>
        <w:spacing w:after="60"/>
      </w:pPr>
      <w:r>
        <w:rPr>
          <w:b w:val="0"/>
          <w:i w:val="0"/>
          <w:smallCaps w:val="0"/>
          <w:strike w:val="0"/>
          <w:sz w:val="16"/>
          <w:u w:val="none"/>
        </w:rPr>
        <w:t xml:space="preserve">Part III traces a further shift in American emergency government that took place during the 1950s. As nuclear weapons and delivery systems grew increasingly powerful, mobilization planners deemphasized readiness to ramp up industrial production for a long war. Instead, they turned to the task of ensuring the continuous </w:t>
      </w:r>
      <w:r>
        <w:rPr>
          <w:b w:val="0"/>
          <w:i w:val="0"/>
          <w:smallCaps w:val="0"/>
          <w:strike w:val="0"/>
          <w:sz w:val="22"/>
          <w:u w:val="single"/>
        </w:rPr>
        <w:t xml:space="preserve">functioning of vital </w:t>
      </w:r>
      <w:r>
        <w:rPr>
          <w:b w:val="0"/>
          <w:i w:val="0"/>
          <w:smallCaps w:val="0"/>
          <w:strike w:val="0"/>
          <w:sz w:val="22"/>
          <w:highlight w:val="cyan"/>
          <w:u w:val="single"/>
        </w:rPr>
        <w:t>systems</w:t>
      </w:r>
      <w:r>
        <w:rPr>
          <w:b w:val="0"/>
          <w:i w:val="0"/>
          <w:smallCaps w:val="0"/>
          <w:strike w:val="0"/>
          <w:sz w:val="16"/>
          <w:u w:val="none"/>
        </w:rPr>
        <w:t xml:space="preserve"> that </w:t>
      </w:r>
      <w:r>
        <w:rPr>
          <w:b w:val="0"/>
          <w:i w:val="0"/>
          <w:smallCaps w:val="0"/>
          <w:strike w:val="0"/>
          <w:sz w:val="22"/>
          <w:u w:val="single"/>
        </w:rPr>
        <w:t xml:space="preserve">would be </w:t>
      </w:r>
      <w:r>
        <w:rPr>
          <w:b w:val="0"/>
          <w:i w:val="0"/>
          <w:smallCaps w:val="0"/>
          <w:strike w:val="0"/>
          <w:sz w:val="22"/>
          <w:highlight w:val="cyan"/>
          <w:u w:val="single"/>
        </w:rPr>
        <w:t xml:space="preserve">required to </w:t>
      </w:r>
      <w:r>
        <w:rPr>
          <w:b/>
          <w:i w:val="0"/>
          <w:smallCaps w:val="0"/>
          <w:strike w:val="0"/>
          <w:sz w:val="24"/>
          <w:highlight w:val="cyan"/>
          <w:u w:val="single"/>
        </w:rPr>
        <w:t>sustain</w:t>
      </w:r>
      <w:r>
        <w:rPr>
          <w:b/>
          <w:i w:val="0"/>
          <w:smallCaps w:val="0"/>
          <w:strike w:val="0"/>
          <w:sz w:val="24"/>
          <w:u w:val="single"/>
        </w:rPr>
        <w:t xml:space="preserve"> human </w:t>
      </w:r>
      <w:r>
        <w:rPr>
          <w:b/>
          <w:i w:val="0"/>
          <w:smallCaps w:val="0"/>
          <w:strike w:val="0"/>
          <w:sz w:val="24"/>
          <w:highlight w:val="cyan"/>
          <w:u w:val="single"/>
        </w:rPr>
        <w:t>life</w:t>
      </w:r>
      <w:r>
        <w:rPr>
          <w:b w:val="0"/>
          <w:i w:val="0"/>
          <w:smallCaps w:val="0"/>
          <w:strike w:val="0"/>
          <w:sz w:val="16"/>
          <w:u w:val="none"/>
        </w:rPr>
        <w:t xml:space="preserve">, economic activity, and governmental operations in the unprecedented conditions that would result </w:t>
      </w:r>
      <w:r>
        <w:rPr>
          <w:b w:val="0"/>
          <w:i w:val="0"/>
          <w:smallCaps w:val="0"/>
          <w:strike w:val="0"/>
          <w:sz w:val="22"/>
          <w:highlight w:val="cyan"/>
          <w:u w:val="single"/>
        </w:rPr>
        <w:t>from</w:t>
      </w:r>
      <w:r>
        <w:rPr>
          <w:b w:val="0"/>
          <w:i w:val="0"/>
          <w:smallCaps w:val="0"/>
          <w:strike w:val="0"/>
          <w:sz w:val="22"/>
          <w:u w:val="single"/>
        </w:rPr>
        <w:t xml:space="preserve"> a</w:t>
      </w:r>
      <w:r>
        <w:rPr>
          <w:b w:val="0"/>
          <w:i w:val="0"/>
          <w:smallCaps w:val="0"/>
          <w:strike w:val="0"/>
          <w:sz w:val="16"/>
          <w:u w:val="none"/>
        </w:rPr>
        <w:t xml:space="preserve"> thermo</w:t>
      </w:r>
      <w:r>
        <w:rPr>
          <w:b/>
          <w:i w:val="0"/>
          <w:smallCaps w:val="0"/>
          <w:strike w:val="0"/>
          <w:sz w:val="24"/>
          <w:highlight w:val="cyan"/>
          <w:u w:val="single"/>
        </w:rPr>
        <w:t>nuclear</w:t>
      </w:r>
      <w:r>
        <w:rPr>
          <w:b w:val="0"/>
          <w:i w:val="0"/>
          <w:smallCaps w:val="0"/>
          <w:strike w:val="0"/>
          <w:sz w:val="22"/>
          <w:highlight w:val="cyan"/>
          <w:u w:val="single"/>
        </w:rPr>
        <w:t xml:space="preserve"> attack</w:t>
      </w:r>
      <w:r>
        <w:rPr>
          <w:b w:val="0"/>
          <w:i w:val="0"/>
          <w:smallCaps w:val="0"/>
          <w:strike w:val="0"/>
          <w:sz w:val="16"/>
          <w:u w:val="none"/>
        </w:rPr>
        <w:t xml:space="preserve">. Chapter 5 examines the practices of </w:t>
      </w:r>
      <w:r>
        <w:rPr>
          <w:b/>
          <w:i w:val="0"/>
          <w:smallCaps w:val="0"/>
          <w:strike w:val="0"/>
          <w:sz w:val="24"/>
          <w:highlight w:val="cyan"/>
          <w:u w:val="single"/>
        </w:rPr>
        <w:t>“administrative readiness”</w:t>
      </w:r>
      <w:r>
        <w:rPr>
          <w:b w:val="0"/>
          <w:i w:val="0"/>
          <w:smallCaps w:val="0"/>
          <w:strike w:val="0"/>
          <w:sz w:val="16"/>
          <w:u w:val="none"/>
        </w:rPr>
        <w:t xml:space="preserve"> developed by mobilization planners to </w:t>
      </w:r>
      <w:r>
        <w:rPr>
          <w:b w:val="0"/>
          <w:i w:val="0"/>
          <w:smallCaps w:val="0"/>
          <w:strike w:val="0"/>
          <w:sz w:val="22"/>
          <w:u w:val="single"/>
        </w:rPr>
        <w:t>prepare for</w:t>
      </w:r>
      <w:r>
        <w:rPr>
          <w:b w:val="0"/>
          <w:i w:val="0"/>
          <w:smallCaps w:val="0"/>
          <w:strike w:val="0"/>
          <w:sz w:val="16"/>
          <w:u w:val="none"/>
        </w:rPr>
        <w:t xml:space="preserve"> government </w:t>
      </w:r>
      <w:r>
        <w:rPr>
          <w:b w:val="0"/>
          <w:i w:val="0"/>
          <w:smallCaps w:val="0"/>
          <w:strike w:val="0"/>
          <w:sz w:val="22"/>
          <w:u w:val="single"/>
        </w:rPr>
        <w:t>operations in a</w:t>
      </w:r>
      <w:r>
        <w:rPr>
          <w:b w:val="0"/>
          <w:i w:val="0"/>
          <w:smallCaps w:val="0"/>
          <w:strike w:val="0"/>
          <w:sz w:val="16"/>
          <w:u w:val="none"/>
        </w:rPr>
        <w:t xml:space="preserve"> future </w:t>
      </w:r>
      <w:r>
        <w:rPr>
          <w:b w:val="0"/>
          <w:i w:val="0"/>
          <w:smallCaps w:val="0"/>
          <w:strike w:val="0"/>
          <w:sz w:val="22"/>
          <w:u w:val="single"/>
        </w:rPr>
        <w:t>emergency</w:t>
      </w:r>
      <w:r>
        <w:rPr>
          <w:b w:val="0"/>
          <w:i w:val="0"/>
          <w:smallCaps w:val="0"/>
          <w:strike w:val="0"/>
          <w:sz w:val="16"/>
          <w:u w:val="none"/>
        </w:rPr>
        <w:t>, culminating with a description of Mobilization Plan D-Minus (1957)—the first plan for national emergency preparedness in the United States. Chapter 6 focuses on one dimension of such national preparedness planning: the management of resources such as food, medical supplies, and services that would be essential to the population’s postattack survival. The chapter traces how mobilization planners used the new tool of computer simulation to envision and prepare for an unprecedented future event—a catastrophic nuclear attack.</w:t>
      </w:r>
    </w:p>
    <w:p>
      <w:pPr>
        <w:spacing w:after="60"/>
      </w:pPr>
      <w:r>
        <w:rPr>
          <w:b w:val="0"/>
          <w:i w:val="0"/>
          <w:smallCaps w:val="0"/>
          <w:strike w:val="0"/>
          <w:sz w:val="16"/>
          <w:u w:val="none"/>
        </w:rPr>
        <w:t>&lt;&lt;TEXT SHRUNK NONE OMMITTED&gt;&gt;</w:t>
      </w:r>
    </w:p>
    <w:p>
      <w:pPr>
        <w:spacing w:after="60"/>
      </w:pPr>
      <w:r>
        <w:rPr>
          <w:b w:val="0"/>
          <w:i w:val="0"/>
          <w:smallCaps w:val="0"/>
          <w:strike w:val="0"/>
          <w:u w:val="none"/>
        </w:rPr>
        <w:t xml:space="preserve">By the late 1950s, emergency government, which had previously focused on alleviating economic depression and mobilizing for war, had mutated into emergency preparedness for a future domestic catastrophe. A coherent set of understandings, practices, and organizational forms had consolidated into an apparatus that continues to structure emergency government—in the United States and beyond—to the present day. In the next two sections, we outline the broader conceptual and theoretical significance of this mutation in governmental rationality. First, we introduce the concept of vital systems security as a form of “reflexive biopolitics,” oriented to the management of uncertain and potentially catastrophic future events. We argue that, beginning with the midcentury episodes we examine, securing the nation’s vital systems has become a central norm of modern government. Second, we describe how American emergency government took shape as a response to the challenge that increasingly common use of emergency powers during war and economic crisis posed to democratic government. In these contexts, reformers assembled a political technology for governing emergencies that, they thought, would make it possible to avoid recourse to exceptional measures that would undermine constitutional democracy. Vital Systems Security In 1984, applied mathematician and security expert Robert Kupperman published Technological Advances and Consequent Dangers, a working paper for the Center for Strategic and International Studies, a think tank based in Washington, DC.17 Kupperman’s essay was a far-reaching reflection on the vulnerability of vital systems as a central problem of national security. For our purposes, Kupperman’s paper indicates how system vulnerability was linked to a broader problematization of risk and security in modern societies. For millennia, Kupperman argued, human beings had faced relatively localized and “self-extinguishing” threats that were “dissipated by the distribution of cultural assets, by the existence of physical and psychological ‘hinterlands,’ and by the cushioning function of institutional diversity and independence.” Even the cataclysm of World War I was a contained event. “Diversities, distances, and differences, systematic inefficiencies of civilization in themselves,” he argued, “provided the recuperative forces necessary to maintain continuity.” But in the intervening years, the “extension of technology in the service of civilization” had enabled human beings to move “into every suitable niche, and even into some not so suitable.” The increasingly “efficient, economical infrastructure” required to sustain this process carried with it an unacknowledged price. “Modern technological efficiency in the provision of food, water, energy, medicine, transport and communication,” he wrote, has been “oriented toward economic affordability without much attention to complex network fragility.” Pointing to the “interlocking technologies” that underpin the “fragile dynamic cycle of production, transportation, and consumption” in contemporary societies, Kupperman argued that the “greater a society’s dependence for survival on its technological infrastructure, the greater its vulnerability to a collapse triggered naturally or artificially at a key point.” Like biological organisms, contemporary human societies could not manage “fundamental system failures multiplying at a biological rate.” “A critical point is reached,” Kupperman warned. “A cascade of organ-system failures ensues, and death comes quickly.” Modern civilization, in developing technologies oriented to furthering the “ends of human life,” had created a system whose “success and importance to social survival make it, ironically, one of society’s greatest weaknesses.”18 In the 1970s and 1980s, the kinds of hazards that Kupperman identified—what sociologist Ulrich Beck describes as “modernization risks”19—were taking on a new kind of public and political life. Economic and energy shocks, environmental crisis, and terrorism garnered increasing attention alongside the paradigmatic specter of catastrophic risk, thermonuclear war, which raised the prospect, for the first time, of self-inflicted human extinction. 20 Kupperman’s reflections are especially significant for our story given his career trajectory, which passed through some of the mostly forgotten technical domains in which, we show in this book, the vulnerability of vital systems was identified and addressed as a matter of governmental concern. In 1980, Kupperman served the incoming Ronald Reagan administration as the head of the transition for the Federal Emergency Management Agency (FEMA), which President Jimmy Carter had created by executive order in 1979. Prior to that, during the 1960s and early 1970s, Kupperman had worked in one of FEMA’s predecessors, the Office of Emergency Preparedness (OEP). As director of the Systems Evaluation Division within OEP, Kupperman oversaw studies on “the impact on the Nation’s security and economy created by emergency contingencies of both military and nonmilitary nature,” examining issues such as natural disaster assistance, the continuity of government, damage assessment, resource management, and the “survivability of networks related to national preparedness.”21 The arc of Kupperman’s career points us to a broader question: How did it become possible to understand collective existence in the United States as dependent on a complex of vital and vulnerable systems, and how did the protection of such systems come to be a taken-for- granted obligation of contemporary government? In the chapters that follow we show that, for nearly a century, a persistent discourse has examined collective life from a particular point of view: the vulnerability of modern society and economy to disruption of the vital systems on which they depend. And since at least the early Cold War, the federal government has been concerned with ensuring the continuous functioning of such systems in the face of catastrophic threats. Today, this problem of “vital systems security” is a central object and aim of government, defined in legislation, executive orders, and broad statements of security strategy. REFLEXIVE BIOPOLITICS We analyze the emergence of vital systems security as the product of a mutation in the government of modern life. Specifically, it marks a reflexive moment in the history of “biopolitics”—that is, the government of human beings in relation to their biological and social existence. Michel Foucault famously coined the term “biopolitics” to mark a shift, dating roughly to the late eighteenth century, in the aims and objects of government in European countries: from the “classical sovereignty” of the European territorial monarchies to a new governmental concern with ensuring the health and well-being of national populations.22 Classical sovereignty, Foucault argued, ruled “from the standpoint of the juridical-political notion” of the legal subject. Diplomatic, military, and police apparatuses—elements of what might be called “sovereign state security”—aimed to ensure the security of the state itself in the face of foreign and domestic threats. By contrast, biopolitical government is exercised over the population—a collection of living beings understood as a “technical-political object of management.” Foucault traced the “birth of biopolitics” to late eighteenth-and early nineteenth-century Europe, when government authorities sought to manage the health and welfare of populations in growing urban centers. The rapid growth of towns, the expansion of industry, the intensification of trade, and increasingly crowded living conditions posed “new and specific economic and political problems of governmental technique.” In response, officials, planners, and experts in the nascent human sciences invented new forms of knowledge about—and devices for governing—the “fine materiality of human existence and coexistence, of exchange and circulation.”23 As Foucault emphasized, the point is not that the birth of biopolitics displaced prior mechanisms of sovereignty; indeed, particularly with the advent of total war, threats to sovereignty were a key catalyst for the development of biopolitics. Rather, the theme of biopolitics designates the interplay between the exercise of juridical power over legal subjects and the technical management of living beings. Building on Foucault’s analysis, scholars have traced the development of biopolitical government in a range of domains from the early nineteenth century. In efforts to reduce the toll of epidemics, organize conscription for war, or manage economic fluctuations, government bureaucracies generated vast amounts of data about phenomena such as birth, illness, and death; suicide and crime; and levels of production and employment.24 This “avalanche of numbers,” as Hacking puts it, made possible a new, statistical understanding of collective life.25 The technical and political category of risk played a central role in this development, enabling experts and government officials to quantitatively analyze how phenomena such as crime, illness, accident, and poverty were distributed over a given population, and to assess the costs and benefits of measures to minimize these risks.26 New governmental apparatuses in areas such as economic regulation, urban planning, and public health specified and managed these problems. As Foucault describes this complex process, a “constant interplay between techniques of power and their object” served to “carve out” the population and its specific phenomena (birth and death rates, disease processes, etc.) as a “field of reality.” 27 We take up this story of biopolitical modernity at a later conjuncture and in a different locale. Beginning in the early twentieth century, American planners and policymakers in various domains argued that with the development of mass industrial and metropolitan societies, the interdependencies that made modern collective life possible also rendered it vulnerable to catastrophic disruption from events such as economic shocks, industrial accidents, or wars. Over the following decades, experts and officials addressed this vulnerability by devising new ways to anticipate and mitigate the effects of such events, to reduce the vulnerability of vital systems, and to make society resilient to shocks.28 The first governmental apparatus for securing vital systems was assembled in the 1950s. In the early Cold War, planners and officials working on nuclear preparedness brought together a set of elements— knowledge forms, techniques of intervention, and organizational arrangements—that constituted system vulnerability as a target of governmental intervention. Like the demographers, public health experts, and urbanists of the nineteenth century, mobilization planners produced an “avalanche of numbers” about collective existence, not through statistical analysis of populations but by using scenarios, catastrophe models, and vulnerability assessments. Through this process, society became vulnerable in a novel way. Like the figure of population a century earlier, a new figure of collective life—the vulnerable, vital system—was “carved out” as an object of expert knowledge, technical intervention, and political concern. By the late twentieth and early twenty-first centuries, this apparatus of vital systems security had been extended into new domains, including natural disaster response, pandemic preparedness, the management of economic crises, and homeland security.29 This is not to say that vital systems security displaced prior forms of security or became the dominant form of collective security. As we will show, vital systems security emerged and consolidated in complex relation to sovereign state security and population security. Thus, the officials and planners in the 1950s-era Office of Defense Mobilization viewed the task of ensuring the functioning of vital systems in the wake of a nuclear attack as a matter of sovereign state security—prevailing in a future war.30 Meanwhile, vital systems security has become central to many domains of biopolitical government, including the provision of population security in areas such as public health, urban planning, and economic governance. Indeed, we suggest that vital systems security should be understood as a form of “reflexive biopolitics.” It shares the aim of population security: ensuring the health and welfare of populations. But these two forms of biopolitical security differ in their objects of concern, knowledge practices, and norms (see table 1). Whereas population security addresses regularly occurring events that can be managed through the distribution of risk, vital systems security deals with events whose probability cannot be precisely calculated, but whose consequences are potentially catastrophic. Vital systems security does not rely on statistical analysis of past events, but rather employs techniques of enactment such as catastrophe models and scenario-based exercises to simulate potential future events and thereby generate knowledge about present vulnerabilities.31 Its interventions seek to increase the resilience of critical systems and to bolster preparedness for future emergencies. A NEW POLITICAL RATIONALITY Our claim is not that governmental concern with vital systems is itself novel. Governments have long been concerned with vital systems like roads, communication networks, and large systems of water management. The construction and control of transportation, energy, and communication systems—what has only recently come to be called “infrastructure”—is found in all large-scale complex </w:t>
      </w:r>
      <w:r>
        <w:rPr>
          <w:b w:val="0"/>
          <w:i w:val="0"/>
          <w:smallCaps w:val="0"/>
          <w:strike w:val="0"/>
          <w:u w:val="none"/>
        </w:rPr>
        <w:t>societies. 32 Territorial empires have for centuries recognized what were referred to as “communications” as essential to prosperity and security. And military strategists have long been concerned with the importance of transportation and communication for military lines of supply; the military tactic of blockade goes back millennia.33 But from the late nineteenth century to the mid-twentieth century, we observe a significant intensification and modulation of these concerns. In particular, three features distinguish vital systems security as a political rationality and delimit the conceptual and empirical scope of this book: first, its relationship to biopolitics; second, the emergence of specialized expertise about vital systems; and third, the consolidation of a new political norm—that governments must ensure the ongoing functioning of vital systems in the face of catastrophic threats. Vital systems and modern biopolitics. First, we can refer to vital systems security in the sense we use the term here only with the emergence of modern biopolitics. Electricity networks, railroads, and complex chains of production became “vital systems” when they were linked to newly constituted problem domains such as the national economy or social welfare.34 Although this development can be traced to the late nineteenth century, particularly in European contexts,35 our narrative begins in the United States in the first decades of the twentieth century. We focus on two apparently disparate fields: regional planning and strategic bombing theory.36 Experts in these fields initially used biological metaphors to illustrate the dependence of collective existence on what Muir Fairchild, an instructor at the US Army’s Air Corps Tactical School in the 1930s, called “life-sustaining vital systems.”37 Fairchild’s term suggested that, like the failure of vital organs or the breakdown of circulatory systems in a biological organism, the disruption of such systems would be catastrophic to the social body. As another Air Corps instructor put it in 1938, as the United States had “grown and prospered in proportion to the excellence of its industrial system,” it had become “more vulnerable . . . to wartime collapse caused by the cutting of one or more of its essential arteries.”38 The use of such biological metaphors would fade over time (though never disappear, as Kupperman’s 1984 report demonstrates). But from the case studies of the Air Corps Tactical School and the quantitative analyses of “criticality” and “essentiality” in wartime and postwar facilities ratings to contemporary assessments of critical infrastructure vulnerability or resilience, experts have defined the “vitality” of vital systems, and the threat posed by their disruption, in terms of these systems’ role in the health and well-being of populations—the central concerns of biopolitical government. System vulnerability expertise. Second, vital systems security is distinguished by the development of specialized knowledge that constitutes vital systems and their vulnerability as objects of expert analysis and rational-technical intervention. By the mid-twentieth century, technical specialists and officials working in mobilization and air-targeting agencies had devised new practices for assessing vulnerability and preparing for future events that might disrupt the nation’s vital systems. This new form of expertise rested on the accumulation of a vast amount of information about American natural resources, productive facilities, and public works—what President Franklin Delano Roosevelt referred to in 1935 as an “inventory of our national assets.”39 Such expertise also drew on techniques for analyzing the interrelationships among the elements that this “inventory” comprised. Although specialists from many fields were involved in constituting vital systems—and the vulnerability of these systems—as objects of systematic knowledge, economists played a particularly prominent role. Economists first appear in our account during the New Deal, inventing a “science of flows” to analyze how shocks would propagate through the economic system, whether these shocks resulted from a plunge in demand during economic downturns or from a surge in demand caused by government stimulus policies or wartime mobilization. A number of these New Deal economists then migrated to air intelligence offices during World War II, where they developed an “economics of strategic target selection” to assess the vulnerability of enemy production systems and to recommend bombing targets.40 A decade prior to the development of “systems analysis” at the RAND Corporation in the 1950s, these mobilization planners and air intelligence specialists established methods for the quantitative analysis of military-industrial complexes as ensembles of interlocking vital systems.41 In the closing years of World War II and the early Cold War, technical experts coupled the analysis of vital systems with new methods for modeling how a catastrophic event—such as an incendiary bombing attack on a city (during World War II) or an atomic detonation (after the war)—would unfold in space. As we show in chapter 3, these experts produced a new kind of knowledge about vital and vulnerable systems. Initially, military analysts in air intelligence units used graphical techniques such as maps and transparent overlays to generate assessments of urban and industrial vulnerability. By the mid-1950s, vulnerability experts had replaced maps and physical overlays with digital computers and geographically tagged data sets—a precursor of geographic information systems (GIS). The advent of computer simulation added another dimension to vulnerability analysis. By incorporating randomization procedures and multiple simulated runs in their models, vulnerability specialists could account for uncertainties about how a future attack would unfold. These simulation techniques—initially used as speculative “experiments” or “war games” 42 as part of nuclear preparedness planning (see chapter 6)—have come to be accepted in various domains as authoritative tools for generating knowledge about uncertain future events.43 Vital systems security as political obligation and norm. Third, and finally, vital systems security refers to an increasingly taken-for- granted norm of politics. After World War II, the task of ensuring the continuous operation of vital systems and managing the risk of catastrophic disruption came to be accepted as a basic obligation of sovereign government. This was not the first time that the US government was expected to deal with the consequences of domestic catastrophes. As Michele Landis Dauber has documented, there is a long American tradition of federal relief following disasters.44 But prior to the middle of the twentieth century, these governmental responses were ad hoc, organized in the wake of what were understood to be unforeseeable “acts of god.” 45 Only in the last several decades has government been held responsible for preparing in advance of future catastrophes that can be anticipated if not precisely predicted. And only in the last several decades has this obligation been addressed, at least in part, by technical measures that aim to ensure the functioning of vital systems. The first statutory mention of this new governmental obligation (discussed in chapter 4) was in the 1947 National Security Act. The Act created a new peacetime mobilization agency—the National Security Resources Board (NSRB)—and charged it with undertaking measures to protect “industries, services, Government and economic activities” whose “continuous operation” Congress deemed “essential to the Nation’s security.” 46 The NSRB was a defense mobilization agency, in which the norm of “preparedness” still referred to military-industrial readiness for war. But planners working in government agencies charged with preparedness gradually adapted these techniques to address other kinds of potentially catastrophic events, such as hurricanes, floods, and infectious disease outbreaks. By the 1960s, the norm of preparedness could refer to any event that might catastrophically disrupt the nation’s vital systems. The organization of responsibility for emergency preparedness has shifted almost constantly over the subsequent decades, and attention to this problem has ebbed and flowed. But the task of ensuring the continuous operation of vital systems is now a virtually unquestioned—if not always successfully met—obligation of contemporary government. An “Administrative Machinery” for Governing Emergencies The prior section described how experts and officials constituted system vulnerability as an object of specialized knowledge and a target of governmental intervention during the Depression, World War II, and the early Cold War. But on its own, this description of expert knowledge and technical interventions is too serene. It is too serene, in part, because these “interventions” into vital systems were closely linked to projects— whether war mobilization, strategic air targeting, or nuclear preparedness—that involved the mass slaughter of civilians, the annihilation of cities, and, after World War II, the prospect of nuclear holocaust.47 It is also too serene because the developments we have described corresponded to an upheaval in American government. Technical experts and government officials often instituted the mechanisms of vital systems security through “emergency” measures that challenged American political traditions, such as deference to legislative prerogative and judicial precedent, as well as a diffuse and decentralized pattern of sovereignty. An account of the emergence and consolidation of vital systems security must, therefore, address the fraught relationship between emergency powers and constitutional democracy. As a point of entry into these questions, we turn to the writings of a prominent midcentury American commentator on crisis government, political scientist Clinton Rossiter. Rossiter began his seminal study Constitutional Dictatorship, published in 1948, with a question that President Abraham Lincoln had posed at the outset of the American Civil War. “Is there in all republics,” Lincoln asked, “this inherent and fatal weakness? Must a government be too strong for the liberties of its people, or too weak to maintain its own existence?” Had Lincoln been alive on the eve of World War II, Rossiter observed, he could have “framed his question in more modern terms.” Was it possible for a democracy to “fight a successful total war and still be a democracy when the war is over?” For Rossiter, writing just after the end of World War II, the “incontestable facts of history” had provided an answer. “We have fought a successful total war,” Rossiter declared, “and we are still a democracy.” In this “severe national emergency,” the US government had employed “devices and techniques” that made it “strong enough to maintain its own existence without at the same time being so strong as to subvert the liberties of the people it has been instituted to defend.” 48 In what follows, we show that the “devices and techniques” Rossiter referred to were the product of efforts by governmental reformers who, during the New Deal and World War II, sought to meet the challenge that, they thought, emergency situations posed to constitutional democracy. These reformers assembled what Rossiter called an “administrative machinery” that would enable the US federal government, especially its executive branch, to manage emergency situations through expert rule without recourse to an extra-constitutional state of exception. They believed, like Rossiter, that in an era of pervasive doubt about the prospects for democracy, they had successfully responded to the “taunt of the dictators” that “democracies cannot meet the demands of the modern world and still remain democratic,” as the reformer Luther Gulick put it in 1941.49 Our aim in describing these reformers’ efforts is not to assess the validity of such claims. Rather, it is to reconstruct how they formulated and sought to address the problem that emergencies posed to democratic constitutionalism. Their responses shaped a distinctive political technology for governing emergency situations. DEMOCRACY, EMERGENCY, AND THE MODERN AMERICAN STATE</w:t>
      </w:r>
    </w:p>
    <w:p>
      <w:pPr>
        <w:spacing w:after="60"/>
      </w:pPr>
      <w:r>
        <w:rPr>
          <w:b w:val="0"/>
          <w:i w:val="0"/>
          <w:smallCaps w:val="0"/>
          <w:strike w:val="0"/>
          <w:sz w:val="16"/>
          <w:u w:val="none"/>
        </w:rPr>
        <w:t>&lt;&lt;PARAGRAPH BREAKS CONTINUE&gt;&gt;</w:t>
      </w:r>
    </w:p>
    <w:p>
      <w:pPr>
        <w:spacing w:after="60"/>
      </w:pPr>
      <w:r>
        <w:rPr>
          <w:b w:val="0"/>
          <w:i w:val="0"/>
          <w:smallCaps w:val="0"/>
          <w:strike w:val="0"/>
          <w:sz w:val="16"/>
          <w:u w:val="none"/>
        </w:rPr>
        <w:t xml:space="preserve">Our account begins in the early twentieth century. At this time, Progressive reformers argued that, as Charles Merriam put it in 1933, </w:t>
      </w:r>
      <w:r>
        <w:rPr>
          <w:b w:val="0"/>
          <w:i w:val="0"/>
          <w:smallCaps w:val="0"/>
          <w:strike w:val="0"/>
          <w:sz w:val="22"/>
          <w:u w:val="single"/>
        </w:rPr>
        <w:t>governments had “to undertake new activities” to address</w:t>
      </w:r>
      <w:r>
        <w:rPr>
          <w:b w:val="0"/>
          <w:i w:val="0"/>
          <w:smallCaps w:val="0"/>
          <w:strike w:val="0"/>
          <w:sz w:val="16"/>
          <w:u w:val="none"/>
        </w:rPr>
        <w:t xml:space="preserve"> intensifying processes of urbanization and industrialization. Among these new activities were the management of “public welfare, including </w:t>
      </w:r>
      <w:r>
        <w:rPr>
          <w:b w:val="0"/>
          <w:i w:val="0"/>
          <w:smallCaps w:val="0"/>
          <w:strike w:val="0"/>
          <w:sz w:val="22"/>
          <w:u w:val="single"/>
        </w:rPr>
        <w:t>education, recreation, health, social relief, and welfare planning”; the construction of public works</w:t>
      </w:r>
      <w:r>
        <w:rPr>
          <w:b w:val="0"/>
          <w:i w:val="0"/>
          <w:smallCaps w:val="0"/>
          <w:strike w:val="0"/>
          <w:sz w:val="16"/>
          <w:u w:val="none"/>
        </w:rPr>
        <w:t xml:space="preserve">, such as “highways and aid to communications”; </w:t>
      </w:r>
      <w:r>
        <w:rPr>
          <w:b w:val="0"/>
          <w:i w:val="0"/>
          <w:smallCaps w:val="0"/>
          <w:strike w:val="0"/>
          <w:sz w:val="22"/>
          <w:u w:val="single"/>
        </w:rPr>
        <w:t>and</w:t>
      </w:r>
      <w:r>
        <w:rPr>
          <w:b w:val="0"/>
          <w:i w:val="0"/>
          <w:smallCaps w:val="0"/>
          <w:strike w:val="0"/>
          <w:sz w:val="16"/>
          <w:u w:val="none"/>
        </w:rPr>
        <w:t xml:space="preserve"> the “central </w:t>
      </w:r>
      <w:r>
        <w:rPr>
          <w:b w:val="0"/>
          <w:i w:val="0"/>
          <w:smallCaps w:val="0"/>
          <w:strike w:val="0"/>
          <w:sz w:val="22"/>
          <w:u w:val="single"/>
        </w:rPr>
        <w:t>control over social and economic forces</w:t>
      </w:r>
      <w:r>
        <w:rPr>
          <w:b w:val="0"/>
          <w:i w:val="0"/>
          <w:smallCaps w:val="0"/>
          <w:strike w:val="0"/>
          <w:sz w:val="16"/>
          <w:u w:val="none"/>
        </w:rPr>
        <w:t>.”50 The challenge, Merriam and other reformers held, was that American governmental institutions, which were set up when the United States was a largely rural and sparsely populated country, were ill suited to the functions required of what they referred to as a “positive state” that was involved in managing the health, well-being, and conditions of existence of a rapidly growing and an increasingly urban population. Merriam described this mismatch as “social lag” and argued for governmental “adjustment.”51 On the one hand, technical experts would have to play an expanded role in political administration. On the other hand, such an “adjustment” would require a significant shift in the locus of political authority: centralization to address issues that crossed local jurisdictional boundaries and decisive executive leadership to manage urgent social and economic problems.</w:t>
      </w:r>
    </w:p>
    <w:p>
      <w:pPr>
        <w:spacing w:after="60"/>
      </w:pPr>
      <w:r>
        <w:rPr>
          <w:b w:val="0"/>
          <w:i w:val="0"/>
          <w:smallCaps w:val="0"/>
          <w:strike w:val="0"/>
          <w:sz w:val="16"/>
          <w:u w:val="none"/>
        </w:rPr>
        <w:t xml:space="preserve">In the early decades of the twentieth century, </w:t>
      </w:r>
      <w:r>
        <w:rPr>
          <w:b w:val="0"/>
          <w:i w:val="0"/>
          <w:smallCaps w:val="0"/>
          <w:strike w:val="0"/>
          <w:sz w:val="22"/>
          <w:u w:val="single"/>
        </w:rPr>
        <w:t xml:space="preserve">administrative reformers </w:t>
      </w:r>
      <w:r>
        <w:rPr>
          <w:b/>
          <w:i w:val="0"/>
          <w:smallCaps w:val="0"/>
          <w:strike w:val="0"/>
          <w:sz w:val="24"/>
          <w:u w:val="single"/>
        </w:rPr>
        <w:t>succeeded</w:t>
      </w:r>
      <w:r>
        <w:rPr>
          <w:b w:val="0"/>
          <w:i w:val="0"/>
          <w:smallCaps w:val="0"/>
          <w:strike w:val="0"/>
          <w:sz w:val="22"/>
          <w:u w:val="single"/>
        </w:rPr>
        <w:t xml:space="preserve"> in instituting significant changes</w:t>
      </w:r>
      <w:r>
        <w:rPr>
          <w:b w:val="0"/>
          <w:i w:val="0"/>
          <w:smallCaps w:val="0"/>
          <w:strike w:val="0"/>
          <w:sz w:val="16"/>
          <w:u w:val="none"/>
        </w:rPr>
        <w:t xml:space="preserve"> along the lines Merriam and other Progressives prescribed. Initially, their efforts focused on state and local governments, as they sought to deal with the growing pressures of urban growth and industrial expansion. By the 1930s, in the context of the New Deal, these reformers turned their attention to the national level and the federal government, where they confronted the “emergency” situations of the Great Depression and World War II. Between 1933 and 1945, </w:t>
      </w:r>
      <w:r>
        <w:rPr>
          <w:b w:val="0"/>
          <w:i w:val="0"/>
          <w:smallCaps w:val="0"/>
          <w:strike w:val="0"/>
          <w:sz w:val="22"/>
          <w:u w:val="single"/>
        </w:rPr>
        <w:t xml:space="preserve">federal agencies took on </w:t>
      </w:r>
      <w:r>
        <w:rPr>
          <w:b w:val="0"/>
          <w:i w:val="0"/>
          <w:smallCaps w:val="0"/>
          <w:strike w:val="0"/>
          <w:sz w:val="22"/>
          <w:highlight w:val="cyan"/>
          <w:u w:val="single"/>
        </w:rPr>
        <w:t xml:space="preserve">a </w:t>
      </w:r>
      <w:r>
        <w:rPr>
          <w:b/>
          <w:i w:val="0"/>
          <w:smallCaps w:val="0"/>
          <w:strike w:val="0"/>
          <w:sz w:val="24"/>
          <w:highlight w:val="cyan"/>
          <w:u w:val="single"/>
        </w:rPr>
        <w:t>vast range</w:t>
      </w:r>
      <w:r>
        <w:rPr>
          <w:b w:val="0"/>
          <w:i w:val="0"/>
          <w:smallCaps w:val="0"/>
          <w:strike w:val="0"/>
          <w:sz w:val="22"/>
          <w:highlight w:val="cyan"/>
          <w:u w:val="single"/>
        </w:rPr>
        <w:t xml:space="preserve"> of</w:t>
      </w:r>
      <w:r>
        <w:rPr>
          <w:b w:val="0"/>
          <w:i w:val="0"/>
          <w:smallCaps w:val="0"/>
          <w:strike w:val="0"/>
          <w:sz w:val="22"/>
          <w:u w:val="single"/>
        </w:rPr>
        <w:t xml:space="preserve"> new </w:t>
      </w:r>
      <w:r>
        <w:rPr>
          <w:b/>
          <w:i w:val="0"/>
          <w:smallCaps w:val="0"/>
          <w:strike w:val="0"/>
          <w:sz w:val="24"/>
          <w:highlight w:val="cyan"/>
          <w:u w:val="single"/>
        </w:rPr>
        <w:t>functions</w:t>
      </w:r>
      <w:r>
        <w:rPr>
          <w:b w:val="0"/>
          <w:i w:val="0"/>
          <w:smallCaps w:val="0"/>
          <w:strike w:val="0"/>
          <w:sz w:val="22"/>
          <w:u w:val="single"/>
        </w:rPr>
        <w:t xml:space="preserve"> relating to the provision of </w:t>
      </w:r>
      <w:r>
        <w:rPr>
          <w:b/>
          <w:i w:val="0"/>
          <w:smallCaps w:val="0"/>
          <w:strike w:val="0"/>
          <w:sz w:val="24"/>
          <w:u w:val="single"/>
        </w:rPr>
        <w:t xml:space="preserve">social </w:t>
      </w:r>
      <w:r>
        <w:rPr>
          <w:b/>
          <w:i w:val="0"/>
          <w:smallCaps w:val="0"/>
          <w:strike w:val="0"/>
          <w:sz w:val="24"/>
          <w:highlight w:val="cyan"/>
          <w:u w:val="single"/>
        </w:rPr>
        <w:t>welfare</w:t>
      </w:r>
      <w:r>
        <w:rPr>
          <w:b w:val="0"/>
          <w:i w:val="0"/>
          <w:smallCaps w:val="0"/>
          <w:strike w:val="0"/>
          <w:sz w:val="22"/>
          <w:u w:val="single"/>
        </w:rPr>
        <w:t xml:space="preserve">, </w:t>
      </w:r>
      <w:r>
        <w:rPr>
          <w:b/>
          <w:i w:val="0"/>
          <w:smallCaps w:val="0"/>
          <w:strike w:val="0"/>
          <w:sz w:val="24"/>
          <w:highlight w:val="cyan"/>
          <w:u w:val="single"/>
        </w:rPr>
        <w:t>econ</w:t>
      </w:r>
      <w:r>
        <w:rPr>
          <w:b/>
          <w:i w:val="0"/>
          <w:smallCaps w:val="0"/>
          <w:strike w:val="0"/>
          <w:sz w:val="24"/>
          <w:u w:val="single"/>
        </w:rPr>
        <w:t>omic management</w:t>
      </w:r>
      <w:r>
        <w:rPr>
          <w:b w:val="0"/>
          <w:i w:val="0"/>
          <w:smallCaps w:val="0"/>
          <w:strike w:val="0"/>
          <w:sz w:val="22"/>
          <w:u w:val="single"/>
        </w:rPr>
        <w:t xml:space="preserve">, </w:t>
      </w:r>
      <w:r>
        <w:rPr>
          <w:b w:val="0"/>
          <w:i w:val="0"/>
          <w:smallCaps w:val="0"/>
          <w:strike w:val="0"/>
          <w:sz w:val="22"/>
          <w:highlight w:val="cyan"/>
          <w:u w:val="single"/>
        </w:rPr>
        <w:t xml:space="preserve">and </w:t>
      </w:r>
      <w:r>
        <w:rPr>
          <w:b/>
          <w:i w:val="0"/>
          <w:smallCaps w:val="0"/>
          <w:strike w:val="0"/>
          <w:sz w:val="24"/>
          <w:highlight w:val="cyan"/>
          <w:u w:val="single"/>
        </w:rPr>
        <w:t>industrial</w:t>
      </w:r>
      <w:r>
        <w:rPr>
          <w:b/>
          <w:i w:val="0"/>
          <w:smallCaps w:val="0"/>
          <w:strike w:val="0"/>
          <w:sz w:val="24"/>
          <w:u w:val="single"/>
        </w:rPr>
        <w:t xml:space="preserve"> mobilization</w:t>
      </w:r>
      <w:r>
        <w:rPr>
          <w:b w:val="0"/>
          <w:i w:val="0"/>
          <w:smallCaps w:val="0"/>
          <w:strike w:val="0"/>
          <w:sz w:val="16"/>
          <w:u w:val="none"/>
        </w:rPr>
        <w:t xml:space="preserve">.52 To better equip the federal government—particularly the executive branch—to meet these new demands, Progressive reformers working in and around the Roosevelt administration pushed through a series of laws and administrative changes. Partly as a result of their efforts, the American presidency, which began the 1930s as a solitary office with a small staff, emerged from the war as a powerful office that oversaw </w:t>
      </w:r>
      <w:r>
        <w:rPr>
          <w:b w:val="0"/>
          <w:i w:val="0"/>
          <w:smallCaps w:val="0"/>
          <w:strike w:val="0"/>
          <w:sz w:val="22"/>
          <w:u w:val="single"/>
        </w:rPr>
        <w:t xml:space="preserve">an </w:t>
      </w:r>
      <w:r>
        <w:rPr>
          <w:b/>
          <w:i w:val="0"/>
          <w:smallCaps w:val="0"/>
          <w:strike w:val="0"/>
          <w:sz w:val="24"/>
          <w:u w:val="single"/>
        </w:rPr>
        <w:t>array</w:t>
      </w:r>
      <w:r>
        <w:rPr>
          <w:b w:val="0"/>
          <w:i w:val="0"/>
          <w:smallCaps w:val="0"/>
          <w:strike w:val="0"/>
          <w:sz w:val="22"/>
          <w:u w:val="single"/>
        </w:rPr>
        <w:t xml:space="preserve"> of </w:t>
      </w:r>
      <w:r>
        <w:rPr>
          <w:b/>
          <w:i w:val="0"/>
          <w:smallCaps w:val="0"/>
          <w:strike w:val="0"/>
          <w:sz w:val="24"/>
          <w:u w:val="single"/>
        </w:rPr>
        <w:t>agencies</w:t>
      </w:r>
      <w:r>
        <w:rPr>
          <w:b w:val="0"/>
          <w:i w:val="0"/>
          <w:smallCaps w:val="0"/>
          <w:strike w:val="0"/>
          <w:sz w:val="22"/>
          <w:u w:val="single"/>
        </w:rPr>
        <w:t xml:space="preserve">, </w:t>
      </w:r>
      <w:r>
        <w:rPr>
          <w:b/>
          <w:i w:val="0"/>
          <w:smallCaps w:val="0"/>
          <w:strike w:val="0"/>
          <w:sz w:val="24"/>
          <w:u w:val="single"/>
        </w:rPr>
        <w:t>wield</w:t>
      </w:r>
      <w:r>
        <w:rPr>
          <w:b w:val="0"/>
          <w:i w:val="0"/>
          <w:smallCaps w:val="0"/>
          <w:strike w:val="0"/>
          <w:sz w:val="16"/>
          <w:u w:val="none"/>
        </w:rPr>
        <w:t xml:space="preserve">ing </w:t>
      </w:r>
      <w:r>
        <w:rPr>
          <w:b/>
          <w:i w:val="0"/>
          <w:smallCaps w:val="0"/>
          <w:strike w:val="0"/>
          <w:sz w:val="24"/>
          <w:u w:val="single"/>
        </w:rPr>
        <w:t>formidable</w:t>
      </w:r>
      <w:r>
        <w:rPr>
          <w:b w:val="0"/>
          <w:i w:val="0"/>
          <w:smallCaps w:val="0"/>
          <w:strike w:val="0"/>
          <w:sz w:val="22"/>
          <w:u w:val="single"/>
        </w:rPr>
        <w:t xml:space="preserve"> discretionary </w:t>
      </w:r>
      <w:r>
        <w:rPr>
          <w:b w:val="0"/>
          <w:i w:val="0"/>
          <w:smallCaps w:val="0"/>
          <w:strike w:val="0"/>
          <w:sz w:val="22"/>
          <w:highlight w:val="cyan"/>
          <w:u w:val="single"/>
        </w:rPr>
        <w:t>powers</w:t>
      </w:r>
      <w:r>
        <w:rPr>
          <w:b w:val="0"/>
          <w:i w:val="0"/>
          <w:smallCaps w:val="0"/>
          <w:strike w:val="0"/>
          <w:sz w:val="16"/>
          <w:u w:val="none"/>
        </w:rPr>
        <w:t xml:space="preserve">.53 [FOOTNOTE] 53. Waldo (Administrative State) </w:t>
      </w:r>
      <w:r>
        <w:rPr>
          <w:b w:val="0"/>
          <w:i w:val="0"/>
          <w:smallCaps w:val="0"/>
          <w:strike w:val="0"/>
          <w:sz w:val="22"/>
          <w:u w:val="single"/>
        </w:rPr>
        <w:t>referred to</w:t>
      </w:r>
      <w:r>
        <w:rPr>
          <w:b w:val="0"/>
          <w:i w:val="0"/>
          <w:smallCaps w:val="0"/>
          <w:strike w:val="0"/>
          <w:sz w:val="16"/>
          <w:u w:val="none"/>
        </w:rPr>
        <w:t xml:space="preserve"> the federal government that emerged from World War II </w:t>
      </w:r>
      <w:r>
        <w:rPr>
          <w:b w:val="0"/>
          <w:i w:val="0"/>
          <w:smallCaps w:val="0"/>
          <w:strike w:val="0"/>
          <w:sz w:val="22"/>
          <w:highlight w:val="cyan"/>
          <w:u w:val="single"/>
        </w:rPr>
        <w:t>as</w:t>
      </w:r>
      <w:r>
        <w:rPr>
          <w:b w:val="0"/>
          <w:i w:val="0"/>
          <w:smallCaps w:val="0"/>
          <w:strike w:val="0"/>
          <w:sz w:val="22"/>
          <w:u w:val="single"/>
        </w:rPr>
        <w:t xml:space="preserve"> the </w:t>
      </w:r>
      <w:r>
        <w:rPr>
          <w:b/>
          <w:i w:val="0"/>
          <w:smallCaps w:val="0"/>
          <w:strike w:val="0"/>
          <w:sz w:val="24"/>
          <w:highlight w:val="cyan"/>
          <w:u w:val="single"/>
        </w:rPr>
        <w:t>“admin</w:t>
      </w:r>
      <w:r>
        <w:rPr>
          <w:b/>
          <w:i w:val="0"/>
          <w:smallCaps w:val="0"/>
          <w:strike w:val="0"/>
          <w:sz w:val="24"/>
          <w:u w:val="single"/>
        </w:rPr>
        <w:t xml:space="preserve">istrative </w:t>
      </w:r>
      <w:r>
        <w:rPr>
          <w:b/>
          <w:i w:val="0"/>
          <w:smallCaps w:val="0"/>
          <w:strike w:val="0"/>
          <w:sz w:val="24"/>
          <w:highlight w:val="cyan"/>
          <w:u w:val="single"/>
        </w:rPr>
        <w:t>state.”</w:t>
      </w:r>
      <w:r>
        <w:rPr>
          <w:b w:val="0"/>
          <w:i w:val="0"/>
          <w:smallCaps w:val="0"/>
          <w:strike w:val="0"/>
          <w:sz w:val="16"/>
          <w:u w:val="none"/>
        </w:rPr>
        <w:t xml:space="preserve"> On the expansion of the Executive Office of the President (EOP) in particular, see Relyea, Executive Office. As one indicator of the growth of this apparatus of executive rule, President Hoover’s staff consisted of thirty-three people; today, more than two thousand people are on the EOP’s staff. [END FOOTNOTE] New expert bodies were scattered throughout the executive branch, and new mechanisms of rational-technical administration were woven into laws and regulations.</w:t>
      </w:r>
    </w:p>
    <w:p>
      <w:pPr>
        <w:pStyle w:val="Caption"/>
      </w:pPr>
      <w:r>
        <w:t>Source: DAOs Neg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