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CONTRACTS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BORDER AGNOSTICNESS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Kaal ’23 </w:t>
      </w:r>
      <w:r>
        <w:rPr>
          <w:b w:val="0"/>
          <w:i w:val="0"/>
          <w:smallCaps w:val="0"/>
          <w:strike w:val="0"/>
          <w:sz w:val="22"/>
          <w:u w:val="none"/>
        </w:rPr>
        <w:t>[Wulf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and Josh Bykowski</w:t>
      </w:r>
      <w:r>
        <w:rPr>
          <w:b w:val="0"/>
          <w:i w:val="0"/>
          <w:smallCaps w:val="0"/>
          <w:strike w:val="0"/>
          <w:sz w:val="22"/>
          <w:u w:val="none"/>
        </w:rPr>
        <w:t>; August 25; Ph.D. in Law and Economics from Humboldt Universitaet zu Berlin, LL.M. from University of Illinois College of Law;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licensed attorney in the United States with a focus on corporate development, emerging technologies, M&amp;A advisory, data privacy, and intellectual property</w:t>
      </w:r>
      <w:r>
        <w:rPr>
          <w:b w:val="0"/>
          <w:i w:val="0"/>
          <w:smallCaps w:val="0"/>
          <w:strike w:val="0"/>
          <w:sz w:val="22"/>
          <w:u w:val="none"/>
        </w:rPr>
        <w:t>;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Newstex Blogs, “Decentralized Autonomous Organizations Are a Paradigm Shift in Business Evolution,” </w:t>
      </w:r>
      <w:r>
        <w:rPr>
          <w:b w:val="0"/>
          <w:i w:val="0"/>
          <w:smallCaps w:val="0"/>
          <w:strike w:val="0"/>
          <w:sz w:val="22"/>
          <w:u w:val="none"/>
        </w:rPr>
        <w:t>] nikhil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Empowered by blockchain technology, DAOs harness decentralization and transparency to operate in an unprecedented manner. In stark contrast to traditional corporations that rely on centralized decision-making hierarchies, 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DAOs operate through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pre-defined rules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encoded in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smart contracts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 </w:t>
      </w:r>
      <w:r>
        <w:rPr>
          <w:b/>
          <w:i w:val="0"/>
          <w:smallCaps w:val="0"/>
          <w:strike w:val="0"/>
          <w:sz w:val="24"/>
          <w:u w:val="single"/>
        </w:rPr>
        <w:t>blockchain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</w:t>
      </w:r>
      <w:r>
        <w:rPr>
          <w:b/>
          <w:i w:val="0"/>
          <w:smallCaps w:val="0"/>
          <w:strike w:val="0"/>
          <w:sz w:val="24"/>
          <w:u w:val="single"/>
        </w:rPr>
        <w:t>decentralized architecture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enhances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>transparency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4"/>
          <w:u w:val="single"/>
        </w:rPr>
        <w:t>security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 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automation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rendering them </w:t>
      </w:r>
      <w:r>
        <w:rPr>
          <w:b/>
          <w:i w:val="0"/>
          <w:smallCaps w:val="0"/>
          <w:strike w:val="0"/>
          <w:sz w:val="24"/>
          <w:u w:val="single"/>
        </w:rPr>
        <w:t>tailor-made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</w:t>
      </w:r>
      <w:r>
        <w:rPr>
          <w:b/>
          <w:i w:val="0"/>
          <w:smallCaps w:val="0"/>
          <w:strike w:val="0"/>
          <w:sz w:val="24"/>
          <w:u w:val="single"/>
        </w:rPr>
        <w:t>digital age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br/>
        <w:t xml:space="preserve">The Information Age, where data and information reign supreme, confers manifold advantages upon DAOs. Their capacity to aggregate and analyze colossal volumes of real-time data empowers informed decision-making.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integration of 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automation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 diminishes the need for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human intervention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across myriad processes, thereby augmenting efficiency and cost-effectiveness. Furthermore,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border-agnostic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nature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</w:t>
      </w:r>
      <w:r>
        <w:rPr>
          <w:b/>
          <w:i w:val="0"/>
          <w:smallCaps w:val="0"/>
          <w:strike w:val="0"/>
          <w:sz w:val="24"/>
          <w:u w:val="single"/>
        </w:rPr>
        <w:t>global economy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finds a natural ally in DAOs, which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seamlessly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function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across geographical boundaries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necessity of 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physical presence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DAOs Neg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